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F2F4" w14:textId="78E4E02C" w:rsidR="004570E7" w:rsidRPr="00282FE8" w:rsidRDefault="004570E7" w:rsidP="004570E7">
      <w:pPr>
        <w:ind w:left="708"/>
        <w:jc w:val="right"/>
        <w:rPr>
          <w:b/>
          <w:bCs/>
        </w:rPr>
      </w:pPr>
      <w:r w:rsidRPr="00282FE8">
        <w:rPr>
          <w:rFonts w:ascii="Times New Roman" w:eastAsia="Times New Roman" w:hAnsi="Times New Roman"/>
          <w:b/>
          <w:bCs/>
          <w:color w:val="000000" w:themeColor="text1"/>
        </w:rPr>
        <w:t xml:space="preserve">Ф НАО </w:t>
      </w:r>
      <w:r w:rsidR="00282FE8" w:rsidRPr="00282FE8">
        <w:rPr>
          <w:rFonts w:ascii="Times New Roman" w:eastAsia="Times New Roman" w:hAnsi="Times New Roman"/>
          <w:b/>
          <w:bCs/>
          <w:color w:val="000000" w:themeColor="text1"/>
          <w:lang w:val="ru-RU"/>
        </w:rPr>
        <w:t>КМУ</w:t>
      </w:r>
      <w:r w:rsidRPr="00282FE8">
        <w:rPr>
          <w:rFonts w:ascii="Times New Roman" w:eastAsia="Times New Roman" w:hAnsi="Times New Roman"/>
          <w:b/>
          <w:bCs/>
          <w:color w:val="000000" w:themeColor="text1"/>
        </w:rPr>
        <w:t xml:space="preserve"> 7-2-03/1 </w:t>
      </w:r>
    </w:p>
    <w:p w14:paraId="0F1865B5" w14:textId="66E65244" w:rsidR="00C4565E" w:rsidRPr="00C4565E" w:rsidRDefault="00C4565E" w:rsidP="00C4565E">
      <w:pPr>
        <w:pStyle w:val="BodyText"/>
        <w:spacing w:before="67"/>
        <w:ind w:left="1985" w:right="1987" w:firstLine="0"/>
        <w:jc w:val="center"/>
        <w:rPr>
          <w:lang w:val="en-KZ"/>
        </w:rPr>
      </w:pPr>
      <w:proofErr w:type="spellStart"/>
      <w:r>
        <w:rPr>
          <w:lang w:val="kk-KZ"/>
        </w:rPr>
        <w:t>КеАҚ</w:t>
      </w:r>
      <w:proofErr w:type="spellEnd"/>
      <w:r w:rsidRPr="00C4565E">
        <w:rPr>
          <w:spacing w:val="-12"/>
          <w:lang w:val="en-KZ"/>
        </w:rPr>
        <w:t xml:space="preserve"> </w:t>
      </w:r>
      <w:r w:rsidRPr="00C4565E">
        <w:rPr>
          <w:lang w:val="en-KZ"/>
        </w:rPr>
        <w:t>«</w:t>
      </w:r>
      <w:r>
        <w:rPr>
          <w:lang w:val="kk-KZ"/>
        </w:rPr>
        <w:t>Қарағанды Медицина Университеті</w:t>
      </w:r>
      <w:r w:rsidRPr="00C4565E">
        <w:rPr>
          <w:spacing w:val="-2"/>
          <w:lang w:val="en-KZ"/>
        </w:rPr>
        <w:t>»</w:t>
      </w:r>
    </w:p>
    <w:p w14:paraId="699038AE" w14:textId="36027EFC" w:rsidR="004570E7" w:rsidRPr="00C4565E" w:rsidRDefault="004570E7" w:rsidP="004570E7">
      <w:pPr>
        <w:jc w:val="center"/>
      </w:pPr>
    </w:p>
    <w:p w14:paraId="5CDB5455" w14:textId="77777777" w:rsidR="004570E7" w:rsidRDefault="004570E7" w:rsidP="004570E7">
      <w:pPr>
        <w:jc w:val="center"/>
      </w:pPr>
    </w:p>
    <w:p w14:paraId="653F3B03" w14:textId="77777777" w:rsidR="004570E7" w:rsidRDefault="004570E7" w:rsidP="004570E7">
      <w:pPr>
        <w:jc w:val="center"/>
      </w:pPr>
    </w:p>
    <w:p w14:paraId="45C7BEC7" w14:textId="77777777" w:rsidR="004570E7" w:rsidRDefault="004570E7" w:rsidP="004570E7">
      <w:pPr>
        <w:jc w:val="center"/>
      </w:pPr>
    </w:p>
    <w:p w14:paraId="1AEEA639" w14:textId="77777777" w:rsidR="004570E7" w:rsidRPr="001A45FC" w:rsidRDefault="004570E7" w:rsidP="004570E7">
      <w:pPr>
        <w:jc w:val="center"/>
        <w:rPr>
          <w:rFonts w:ascii="Times New Roman" w:hAnsi="Times New Roman"/>
          <w:sz w:val="28"/>
          <w:szCs w:val="28"/>
        </w:rPr>
      </w:pPr>
    </w:p>
    <w:p w14:paraId="506B8896" w14:textId="77777777" w:rsidR="004570E7" w:rsidRPr="001A45FC" w:rsidRDefault="004570E7" w:rsidP="004570E7">
      <w:pPr>
        <w:jc w:val="center"/>
        <w:rPr>
          <w:rFonts w:ascii="Times New Roman" w:hAnsi="Times New Roman"/>
          <w:sz w:val="28"/>
          <w:szCs w:val="28"/>
        </w:rPr>
      </w:pPr>
    </w:p>
    <w:p w14:paraId="780B0498" w14:textId="77777777" w:rsidR="00C4565E" w:rsidRPr="00C4565E" w:rsidRDefault="00C4565E" w:rsidP="00C4565E">
      <w:pPr>
        <w:pStyle w:val="BodyText"/>
        <w:spacing w:before="317"/>
        <w:ind w:left="1985" w:right="1980" w:firstLine="0"/>
        <w:jc w:val="center"/>
        <w:rPr>
          <w:lang w:val="en-KZ"/>
        </w:rPr>
      </w:pPr>
      <w:r w:rsidRPr="00C4565E">
        <w:rPr>
          <w:lang w:val="en-KZ"/>
        </w:rPr>
        <w:t>философия докторы (PhD) дәрежесін алу үшін диссертациялық жұмыс:</w:t>
      </w:r>
    </w:p>
    <w:p w14:paraId="4863BEF4" w14:textId="77777777" w:rsidR="004570E7" w:rsidRPr="001A45FC" w:rsidRDefault="004570E7" w:rsidP="004570E7">
      <w:pPr>
        <w:jc w:val="center"/>
        <w:rPr>
          <w:rFonts w:ascii="Times New Roman" w:hAnsi="Times New Roman"/>
          <w:sz w:val="28"/>
          <w:szCs w:val="28"/>
        </w:rPr>
      </w:pPr>
    </w:p>
    <w:p w14:paraId="0E39A6CA" w14:textId="6035C3FE" w:rsidR="004570E7" w:rsidRPr="001A45FC" w:rsidRDefault="00C4565E" w:rsidP="004570E7">
      <w:pPr>
        <w:jc w:val="center"/>
        <w:rPr>
          <w:rFonts w:ascii="Times New Roman" w:hAnsi="Times New Roman"/>
          <w:sz w:val="28"/>
          <w:szCs w:val="28"/>
        </w:rPr>
      </w:pPr>
      <w:r w:rsidRPr="00C4565E">
        <w:rPr>
          <w:rFonts w:ascii="Times New Roman" w:hAnsi="Times New Roman"/>
          <w:b/>
          <w:bCs/>
          <w:sz w:val="28"/>
          <w:szCs w:val="28"/>
          <w:lang w:val="kk-KZ"/>
        </w:rPr>
        <w:t>АННОТАЦИЯСЫ</w:t>
      </w:r>
    </w:p>
    <w:p w14:paraId="3C4E1802" w14:textId="77777777" w:rsidR="00C4565E" w:rsidRDefault="00C4565E" w:rsidP="004570E7">
      <w:pPr>
        <w:jc w:val="center"/>
        <w:rPr>
          <w:rFonts w:ascii="Times New Roman" w:hAnsi="Times New Roman"/>
          <w:sz w:val="28"/>
          <w:szCs w:val="28"/>
        </w:rPr>
      </w:pPr>
    </w:p>
    <w:p w14:paraId="54C0485B" w14:textId="08478F38" w:rsidR="004570E7" w:rsidRDefault="004570E7" w:rsidP="004570E7">
      <w:pPr>
        <w:jc w:val="center"/>
        <w:rPr>
          <w:rFonts w:ascii="Times New Roman" w:hAnsi="Times New Roman"/>
          <w:sz w:val="28"/>
          <w:szCs w:val="28"/>
        </w:rPr>
      </w:pPr>
      <w:r w:rsidRPr="001A45FC">
        <w:rPr>
          <w:rFonts w:ascii="Times New Roman" w:hAnsi="Times New Roman"/>
          <w:sz w:val="28"/>
          <w:szCs w:val="28"/>
        </w:rPr>
        <w:t>диссертационной работы на соискание степени доктора философ</w:t>
      </w:r>
      <w:r>
        <w:rPr>
          <w:rFonts w:ascii="Times New Roman" w:hAnsi="Times New Roman"/>
          <w:sz w:val="28"/>
          <w:szCs w:val="28"/>
        </w:rPr>
        <w:t>ии</w:t>
      </w:r>
    </w:p>
    <w:p w14:paraId="61020420" w14:textId="77777777" w:rsidR="00282FE8" w:rsidRPr="005E5E59" w:rsidRDefault="00282FE8" w:rsidP="004570E7">
      <w:pPr>
        <w:jc w:val="center"/>
        <w:rPr>
          <w:rFonts w:ascii="Times New Roman" w:hAnsi="Times New Roman"/>
          <w:sz w:val="28"/>
          <w:szCs w:val="28"/>
        </w:rPr>
      </w:pPr>
    </w:p>
    <w:tbl>
      <w:tblPr>
        <w:tblpPr w:leftFromText="180" w:rightFromText="180" w:vertAnchor="text" w:tblpY="1"/>
        <w:tblOverlap w:val="never"/>
        <w:tblW w:w="9976" w:type="dxa"/>
        <w:tblLook w:val="04A0" w:firstRow="1" w:lastRow="0" w:firstColumn="1" w:lastColumn="0" w:noHBand="0" w:noVBand="1"/>
      </w:tblPr>
      <w:tblGrid>
        <w:gridCol w:w="9976"/>
      </w:tblGrid>
      <w:tr w:rsidR="004570E7" w:rsidRPr="005E5E59" w14:paraId="2E94C207" w14:textId="77777777" w:rsidTr="00C4565E">
        <w:trPr>
          <w:trHeight w:val="655"/>
        </w:trPr>
        <w:tc>
          <w:tcPr>
            <w:tcW w:w="9976" w:type="dxa"/>
            <w:shd w:val="clear" w:color="auto" w:fill="auto"/>
          </w:tcPr>
          <w:p w14:paraId="1CC0E16D" w14:textId="33637255" w:rsidR="004570E7" w:rsidRPr="00282FE8" w:rsidRDefault="008E5601" w:rsidP="00282FE8">
            <w:pPr>
              <w:jc w:val="center"/>
              <w:rPr>
                <w:rFonts w:ascii="Times New Roman" w:eastAsia="Times New Roman" w:hAnsi="Times New Roman"/>
                <w:b/>
                <w:bCs/>
                <w:color w:val="000000" w:themeColor="text1"/>
                <w:sz w:val="28"/>
                <w:szCs w:val="28"/>
              </w:rPr>
            </w:pPr>
            <w:r w:rsidRPr="00282FE8">
              <w:rPr>
                <w:rFonts w:ascii="Times New Roman" w:hAnsi="Times New Roman"/>
                <w:b/>
                <w:bCs/>
                <w:color w:val="000000" w:themeColor="text1"/>
                <w:spacing w:val="2"/>
                <w:sz w:val="28"/>
                <w:szCs w:val="28"/>
              </w:rPr>
              <w:t>Комплексная оценка метаболизма серотонина у детей с врожденными пороками сердца, осложненными легочной гипертензией</w:t>
            </w:r>
          </w:p>
        </w:tc>
      </w:tr>
      <w:tr w:rsidR="004570E7" w:rsidRPr="005E5E59" w14:paraId="28DBC61F" w14:textId="77777777" w:rsidTr="00C4565E">
        <w:trPr>
          <w:trHeight w:val="109"/>
        </w:trPr>
        <w:tc>
          <w:tcPr>
            <w:tcW w:w="9976" w:type="dxa"/>
            <w:shd w:val="clear" w:color="auto" w:fill="auto"/>
          </w:tcPr>
          <w:p w14:paraId="51FB3B28" w14:textId="77777777" w:rsidR="00282FE8" w:rsidRDefault="00282FE8" w:rsidP="00EC1013">
            <w:pPr>
              <w:rPr>
                <w:rFonts w:ascii="Times New Roman" w:hAnsi="Times New Roman"/>
                <w:sz w:val="28"/>
                <w:szCs w:val="28"/>
              </w:rPr>
            </w:pPr>
          </w:p>
          <w:p w14:paraId="1BE45F8F" w14:textId="37248FEC" w:rsidR="004570E7" w:rsidRPr="005E5E59" w:rsidRDefault="00C4565E" w:rsidP="003E12C0">
            <w:pPr>
              <w:rPr>
                <w:rFonts w:ascii="Times New Roman" w:hAnsi="Times New Roman"/>
                <w:sz w:val="28"/>
                <w:szCs w:val="28"/>
              </w:rPr>
            </w:pPr>
            <w:r w:rsidRPr="00C4565E">
              <w:rPr>
                <w:rFonts w:ascii="Times New Roman" w:hAnsi="Times New Roman" w:cs="Times New Roman"/>
                <w:sz w:val="28"/>
                <w:szCs w:val="28"/>
              </w:rPr>
              <w:t>Мамандық:</w:t>
            </w:r>
            <w:r w:rsidRPr="00C4565E">
              <w:rPr>
                <w:rFonts w:ascii="Times New Roman" w:hAnsi="Times New Roman" w:cs="Times New Roman"/>
                <w:sz w:val="28"/>
                <w:szCs w:val="28"/>
                <w:lang w:val="ru-RU"/>
              </w:rPr>
              <w:t xml:space="preserve"> </w:t>
            </w:r>
            <w:r w:rsidR="00972D6E" w:rsidRPr="006D5548">
              <w:rPr>
                <w:rFonts w:ascii="Times New Roman" w:hAnsi="Times New Roman" w:cs="Times New Roman"/>
                <w:sz w:val="28"/>
                <w:szCs w:val="28"/>
              </w:rPr>
              <w:t>8D10100</w:t>
            </w:r>
            <w:r w:rsidR="004570E7" w:rsidRPr="0001772C">
              <w:rPr>
                <w:rFonts w:ascii="Times New Roman" w:hAnsi="Times New Roman"/>
                <w:sz w:val="28"/>
                <w:szCs w:val="28"/>
              </w:rPr>
              <w:t xml:space="preserve"> </w:t>
            </w:r>
            <w:r w:rsidR="00282FE8">
              <w:rPr>
                <w:rFonts w:ascii="Times New Roman" w:hAnsi="Times New Roman"/>
                <w:sz w:val="28"/>
                <w:szCs w:val="28"/>
                <w:lang w:val="ru-RU"/>
              </w:rPr>
              <w:t xml:space="preserve">- </w:t>
            </w:r>
            <w:r w:rsidR="004570E7" w:rsidRPr="005E5E59">
              <w:rPr>
                <w:rFonts w:ascii="Times New Roman" w:hAnsi="Times New Roman"/>
                <w:sz w:val="28"/>
                <w:szCs w:val="28"/>
              </w:rPr>
              <w:t>Медицина</w:t>
            </w:r>
          </w:p>
          <w:p w14:paraId="343D4949" w14:textId="77777777" w:rsidR="00CB3C94" w:rsidRDefault="00CB3C94" w:rsidP="00EC1013">
            <w:pPr>
              <w:rPr>
                <w:rFonts w:ascii="Times New Roman" w:hAnsi="Times New Roman"/>
                <w:sz w:val="28"/>
                <w:szCs w:val="28"/>
              </w:rPr>
            </w:pPr>
          </w:p>
          <w:p w14:paraId="2332C2B3" w14:textId="3AE67733" w:rsidR="004570E7" w:rsidRPr="005E5E59" w:rsidRDefault="00C4565E" w:rsidP="00EC1013">
            <w:pPr>
              <w:rPr>
                <w:rFonts w:ascii="Times New Roman" w:hAnsi="Times New Roman"/>
                <w:sz w:val="28"/>
                <w:szCs w:val="28"/>
              </w:rPr>
            </w:pPr>
            <w:r w:rsidRPr="00C4565E">
              <w:rPr>
                <w:rFonts w:ascii="Times New Roman" w:hAnsi="Times New Roman"/>
                <w:sz w:val="28"/>
                <w:szCs w:val="28"/>
              </w:rPr>
              <w:t xml:space="preserve">Орындаушы: </w:t>
            </w:r>
            <w:r w:rsidR="004570E7" w:rsidRPr="005E5E59">
              <w:rPr>
                <w:rFonts w:ascii="Times New Roman" w:hAnsi="Times New Roman"/>
                <w:sz w:val="28"/>
                <w:szCs w:val="28"/>
              </w:rPr>
              <w:t>Оспанова Мария Дауренбековна</w:t>
            </w:r>
          </w:p>
          <w:p w14:paraId="30DBBAD7" w14:textId="77777777" w:rsidR="00CB3C94" w:rsidRDefault="00CB3C94" w:rsidP="00EC1013">
            <w:pPr>
              <w:rPr>
                <w:rFonts w:ascii="Times New Roman" w:hAnsi="Times New Roman"/>
                <w:sz w:val="28"/>
                <w:szCs w:val="28"/>
              </w:rPr>
            </w:pPr>
          </w:p>
          <w:p w14:paraId="0AE2D4B0" w14:textId="77777777" w:rsidR="00C4565E" w:rsidRPr="00C4565E" w:rsidRDefault="00C4565E" w:rsidP="00E07B26">
            <w:pPr>
              <w:jc w:val="both"/>
              <w:rPr>
                <w:rFonts w:ascii="Times New Roman" w:hAnsi="Times New Roman"/>
                <w:sz w:val="28"/>
                <w:szCs w:val="28"/>
              </w:rPr>
            </w:pPr>
            <w:r w:rsidRPr="00C4565E">
              <w:rPr>
                <w:rFonts w:ascii="Times New Roman" w:hAnsi="Times New Roman"/>
                <w:sz w:val="28"/>
                <w:szCs w:val="28"/>
              </w:rPr>
              <w:t>Отандық ғылыми кеңесші</w:t>
            </w:r>
            <w:r w:rsidR="004570E7" w:rsidRPr="005E5E59">
              <w:rPr>
                <w:rFonts w:ascii="Times New Roman" w:hAnsi="Times New Roman"/>
                <w:sz w:val="28"/>
                <w:szCs w:val="28"/>
              </w:rPr>
              <w:t xml:space="preserve">: </w:t>
            </w:r>
            <w:r w:rsidRPr="00C4565E">
              <w:rPr>
                <w:rFonts w:ascii="Times New Roman" w:hAnsi="Times New Roman"/>
                <w:sz w:val="28"/>
                <w:szCs w:val="28"/>
              </w:rPr>
              <w:t xml:space="preserve">Миндубаева Фарида Анваровна, </w:t>
            </w:r>
            <w:r>
              <w:t xml:space="preserve"> </w:t>
            </w:r>
            <w:r w:rsidRPr="00C4565E">
              <w:rPr>
                <w:rFonts w:ascii="Times New Roman" w:hAnsi="Times New Roman"/>
                <w:sz w:val="28"/>
                <w:szCs w:val="28"/>
              </w:rPr>
              <w:t>м.ғ.д., «Қарағанды медициналық университеті» КеАҚ физиология кафедрасының профессоры, Қарағанды қ., Қазақстан Республикасы.</w:t>
            </w:r>
          </w:p>
          <w:p w14:paraId="2ECB27A2" w14:textId="09735095" w:rsidR="004570E7" w:rsidRDefault="00C4565E" w:rsidP="00C4565E">
            <w:pPr>
              <w:jc w:val="both"/>
              <w:rPr>
                <w:rFonts w:ascii="Times New Roman" w:hAnsi="Times New Roman"/>
                <w:sz w:val="28"/>
                <w:szCs w:val="28"/>
              </w:rPr>
            </w:pPr>
            <w:r w:rsidRPr="00C4565E">
              <w:rPr>
                <w:rFonts w:ascii="Times New Roman" w:hAnsi="Times New Roman"/>
                <w:sz w:val="28"/>
                <w:szCs w:val="28"/>
              </w:rPr>
              <w:t>Шетелдік ғылыми кеңесші</w:t>
            </w:r>
            <w:r w:rsidR="00CB3C94" w:rsidRPr="005E5E59">
              <w:rPr>
                <w:rFonts w:ascii="Times New Roman" w:hAnsi="Times New Roman"/>
                <w:sz w:val="28"/>
                <w:szCs w:val="28"/>
              </w:rPr>
              <w:t xml:space="preserve">: </w:t>
            </w:r>
            <w:r w:rsidR="004570E7" w:rsidRPr="005E5E59">
              <w:rPr>
                <w:rFonts w:ascii="Times New Roman" w:hAnsi="Times New Roman"/>
                <w:sz w:val="28"/>
                <w:szCs w:val="28"/>
              </w:rPr>
              <w:t xml:space="preserve">Садыкова Динара </w:t>
            </w:r>
            <w:r w:rsidR="00E07B26" w:rsidRPr="005E5E59">
              <w:rPr>
                <w:rFonts w:ascii="Times New Roman" w:hAnsi="Times New Roman"/>
                <w:sz w:val="28"/>
                <w:szCs w:val="28"/>
              </w:rPr>
              <w:t xml:space="preserve">Ильгизаровна, </w:t>
            </w:r>
            <w:r>
              <w:t xml:space="preserve"> </w:t>
            </w:r>
            <w:r w:rsidRPr="00C4565E">
              <w:rPr>
                <w:rFonts w:ascii="Times New Roman" w:hAnsi="Times New Roman" w:cs="Times New Roman"/>
                <w:sz w:val="28"/>
                <w:szCs w:val="28"/>
              </w:rPr>
              <w:t>м.ғ.д., профессор, Ресей Федерациясы Денсаулық сақтау министрлігінің Жоғары білім беру федералды мемлекеттік бюджеттік оқу орны «Қазан мемлекеттік медициналық университеті» госпитальдық педиатрия кафедрасының меңгерушісі, Қазан қ., Ресей Федерациясы.</w:t>
            </w:r>
          </w:p>
          <w:p w14:paraId="42BC3A02" w14:textId="77777777" w:rsidR="004570E7" w:rsidRDefault="004570E7" w:rsidP="00EC1013">
            <w:pPr>
              <w:rPr>
                <w:rFonts w:ascii="Times New Roman" w:hAnsi="Times New Roman"/>
                <w:sz w:val="28"/>
                <w:szCs w:val="28"/>
              </w:rPr>
            </w:pPr>
          </w:p>
          <w:p w14:paraId="132D45A4" w14:textId="77777777" w:rsidR="004570E7" w:rsidRDefault="004570E7" w:rsidP="00EC1013">
            <w:pPr>
              <w:jc w:val="center"/>
              <w:rPr>
                <w:rFonts w:ascii="Times New Roman" w:hAnsi="Times New Roman"/>
                <w:sz w:val="28"/>
                <w:szCs w:val="28"/>
              </w:rPr>
            </w:pPr>
          </w:p>
          <w:p w14:paraId="787FC1A6" w14:textId="77777777" w:rsidR="004570E7" w:rsidRDefault="004570E7" w:rsidP="00EC1013">
            <w:pPr>
              <w:jc w:val="center"/>
              <w:rPr>
                <w:rFonts w:ascii="Times New Roman" w:hAnsi="Times New Roman"/>
                <w:sz w:val="28"/>
                <w:szCs w:val="28"/>
              </w:rPr>
            </w:pPr>
          </w:p>
          <w:p w14:paraId="00FD17DC" w14:textId="77777777" w:rsidR="004570E7" w:rsidRDefault="004570E7" w:rsidP="00EC1013">
            <w:pPr>
              <w:jc w:val="center"/>
              <w:rPr>
                <w:rFonts w:ascii="Times New Roman" w:hAnsi="Times New Roman"/>
                <w:sz w:val="28"/>
                <w:szCs w:val="28"/>
              </w:rPr>
            </w:pPr>
          </w:p>
          <w:p w14:paraId="0D9613E9" w14:textId="77777777" w:rsidR="004570E7" w:rsidRPr="00C4565E" w:rsidRDefault="004570E7" w:rsidP="00EC1013">
            <w:pPr>
              <w:jc w:val="center"/>
              <w:rPr>
                <w:rFonts w:ascii="Times New Roman" w:hAnsi="Times New Roman"/>
                <w:sz w:val="28"/>
                <w:szCs w:val="28"/>
              </w:rPr>
            </w:pPr>
          </w:p>
          <w:p w14:paraId="49D11CEE" w14:textId="77777777" w:rsidR="00C4565E" w:rsidRDefault="00C4565E" w:rsidP="00C4565E">
            <w:pPr>
              <w:pStyle w:val="BodyText"/>
              <w:ind w:left="3360" w:right="3295" w:firstLine="0"/>
              <w:jc w:val="center"/>
              <w:rPr>
                <w:lang w:val="kk-KZ"/>
              </w:rPr>
            </w:pPr>
          </w:p>
          <w:p w14:paraId="6A8A2760" w14:textId="77777777" w:rsidR="00C4565E" w:rsidRDefault="00C4565E" w:rsidP="00C4565E">
            <w:pPr>
              <w:pStyle w:val="BodyText"/>
              <w:ind w:left="3360" w:right="3295" w:firstLine="0"/>
              <w:jc w:val="center"/>
              <w:rPr>
                <w:lang w:val="kk-KZ"/>
              </w:rPr>
            </w:pPr>
          </w:p>
          <w:p w14:paraId="63860E34" w14:textId="1FDCC62E" w:rsidR="004570E7" w:rsidRPr="00C4565E" w:rsidRDefault="00C4565E" w:rsidP="00CC1100">
            <w:pPr>
              <w:pStyle w:val="BodyText"/>
              <w:ind w:left="3360" w:right="3295" w:firstLine="0"/>
              <w:jc w:val="center"/>
              <w:rPr>
                <w:lang w:val="kk-KZ"/>
              </w:rPr>
            </w:pPr>
            <w:r w:rsidRPr="00C4565E">
              <w:rPr>
                <w:lang w:val="kk-KZ"/>
              </w:rPr>
              <w:t>Қазақстан Республикасы</w:t>
            </w:r>
            <w:r w:rsidRPr="00C4565E">
              <w:t xml:space="preserve">  </w:t>
            </w:r>
            <w:r w:rsidRPr="00C4565E">
              <w:rPr>
                <w:lang w:val="kk-KZ"/>
              </w:rPr>
              <w:t>Қарағанды</w:t>
            </w:r>
            <w:r w:rsidRPr="00C4565E">
              <w:t xml:space="preserve"> 2026 </w:t>
            </w:r>
            <w:r w:rsidRPr="00C4565E">
              <w:rPr>
                <w:lang w:val="kk-KZ"/>
              </w:rPr>
              <w:t>жыл</w:t>
            </w:r>
          </w:p>
        </w:tc>
      </w:tr>
    </w:tbl>
    <w:p w14:paraId="0255ECAE" w14:textId="77777777" w:rsidR="004570E7" w:rsidRPr="004570E7" w:rsidRDefault="004570E7" w:rsidP="004570E7">
      <w:pPr>
        <w:ind w:firstLine="709"/>
        <w:jc w:val="both"/>
        <w:rPr>
          <w:rFonts w:ascii="Times New Roman" w:hAnsi="Times New Roman" w:cs="Times New Roman"/>
          <w:b/>
          <w:bCs/>
          <w:sz w:val="28"/>
          <w:szCs w:val="28"/>
          <w:lang w:val="ru-RU"/>
        </w:rPr>
      </w:pPr>
    </w:p>
    <w:p w14:paraId="0D30E003" w14:textId="50BA8EBA" w:rsidR="00CC1100" w:rsidRP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b/>
          <w:bCs/>
          <w:sz w:val="28"/>
          <w:szCs w:val="28"/>
        </w:rPr>
        <w:t>Зерттеудің өзектілігі</w:t>
      </w:r>
      <w:r w:rsidR="004570E7" w:rsidRPr="006E27CF">
        <w:rPr>
          <w:rFonts w:ascii="Times New Roman" w:hAnsi="Times New Roman" w:cs="Times New Roman"/>
          <w:b/>
          <w:bCs/>
          <w:sz w:val="28"/>
          <w:szCs w:val="28"/>
        </w:rPr>
        <w:t>.</w:t>
      </w:r>
      <w:r w:rsidR="004570E7" w:rsidRPr="006E27CF">
        <w:rPr>
          <w:rFonts w:ascii="Times New Roman" w:hAnsi="Times New Roman" w:cs="Times New Roman"/>
          <w:sz w:val="28"/>
          <w:szCs w:val="28"/>
        </w:rPr>
        <w:t xml:space="preserve"> </w:t>
      </w:r>
      <w:r w:rsidRPr="00CC1100">
        <w:rPr>
          <w:rFonts w:ascii="Times New Roman" w:hAnsi="Times New Roman" w:cs="Times New Roman"/>
          <w:sz w:val="28"/>
          <w:szCs w:val="28"/>
        </w:rPr>
        <w:t>Өкпе артериялық гипертензиясы (ӨАГ) балалардағы туа біткен жүрек ақауларының (ТБЖА) ең ауыр және болжамдық тұрғыдан қолайсыз асқынуларының бірі ретінде әділ қарастырылады. Бұл жағдай өкпе артериясы жүйесіндегі қысымның тұрақты жоғарылауымен, өкпе тамырлы арнасының үдей түсетін қайта құрылымдауымен және жүректің оң бөліктерінің артып келе жатқан шамадан тыс жүктелуімен сипатталады, нәтижесінде созылмалы жүрек жеткіліксіздігі дамиды. Эпидемиологиялық зерттеулердің мәліметтері бойынша, популяцияда ТБЖА жиілігі 1000 нәрестеге шаққанда шамамен 8 жағдайды құрайды, бұл ретте аурудың әртүрлі кезеңдерінде өкпе гипертензиясының белгілері осы патологиясы бар пациенттердің үштен біріне жуығында анықталады. Екіншілік ӨАГ жағдайларының басым көпшілігі (86%) уақытша ӨАГ бар нәрестелерге, соның ішінде коррекцияланатын туа біткен жүрек ақаулары бар пациенттерге келеді. ӨАГ қалыптасуы ТБЖА клиникалық ағымын едәуір ауырлатады, қайтымсыз тамырлы өзгерістердің жоғары қаупімен байланысады және, әсіресе кеш диагностикалау және радикалды хирургиялық коррекцияны уақтылы жүргізбеу жағдайында, өлім-жітімді айтарлықтай арттырады [1-4].</w:t>
      </w:r>
    </w:p>
    <w:p w14:paraId="147C3782" w14:textId="77777777" w:rsid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Кардиохирургиядағы айтарлықтай прогреске және ТБЖА ерте коррекциялаудың заманауи әдістерін енгізуге қарамастан, балалар кардиологиясындағы ӨАГ проблемасы өзектілігін сақтап отыр. Пациенттердің бір бөлігінде анатомиялық ақау жойылғаннан және жүйелі қан ағымы қалыпқа келтірілгеннен кейін де әртүрлі дәрежедегі өкпе гипертензиясының белгілері тіркелуін жалғастырады [4]. Осыған байланысты осы жағдайдың қалыптасуы мен прогрессиясы негізінде жатқан молекулалық және биохимиялық механизмдерді зерттеуге, сондай-ақ аурудың динамикасын және жүргізіліп жатқан емнің тиімділігін көрсете алатын патогенетикалық маңызды маркерлерді іздеуге қызығушылық артуда.</w:t>
      </w:r>
    </w:p>
    <w:p w14:paraId="60A6856F" w14:textId="6B29F5C5" w:rsidR="00CC1100" w:rsidRP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 xml:space="preserve">ТБЖА кезіндегі ӨАГ дамуының негізінде ұзақ уақыт бойы болатын патологиялық қан ағымы жатыр – қарыншааралық және жүрекшеаралық қалқалардың ақаулары, сондай-ақ ашық артериялық өзек сияқты жүрек ішілік және жүрек сыртылық шунттар арқылы өтетін патологиялық қан ағымы. Кіші қанайналым шеңберінің созылмалы шамадан тыс жүктелуі тамыр қабырғасына ығысу кернеуінің жоғарылауына, өкпе артерияларының тұрақты спазмына және эндотелий дисфункциясының біртіндеп қалыптасуына әкеледі. Кейіннен медиа гипертрофиясы, тегіс бұлшықет жасушаларының пролиферациясы және интиманың қалыңдау үдерістері іске қосылады, бұл өкпе тамырларының үдемелі қайта құрылымдауын және олардың реактивтілігінің төмендеуін шарттайды. Белгілі бір сатыда бұл өзгерістер қайтымсыз сипатқа ие болады, бұл ТБЖА сәтті хирургиялық коррекциясынан </w:t>
      </w:r>
      <w:r w:rsidRPr="00CC1100">
        <w:rPr>
          <w:rFonts w:ascii="Times New Roman" w:hAnsi="Times New Roman" w:cs="Times New Roman"/>
          <w:sz w:val="28"/>
          <w:szCs w:val="28"/>
        </w:rPr>
        <w:lastRenderedPageBreak/>
        <w:t>кейін де қалыпты өкпе гемодинамикасын қалпына келтіру мүмкіндіктерін шектейді [5,6].</w:t>
      </w:r>
    </w:p>
    <w:p w14:paraId="67061484" w14:textId="3CA5582A" w:rsidR="00CC1100" w:rsidRP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ӨАГ кезіндегі тамырлық қайта құрылымдаудың негізгі факторларының бірі – айқын вазоконстрикторлық және митогендік әсері бар серотонин (5-гидрокситриптамин, 5-HT). Бірқатар зерттеулерде қандағы серотонин концентрациясының жоғарылауы тамыр қабырғасының тегіс бұлшықет жасушаларының гиперплазиясымен, серотониндік рецепторлар мен серотонин тасымалдаушысының (SERT) күшейтілген экспрессиясымен, сондай-ақ өкпе артерияларының пролиферациясы мен қайта құрылымдауына ықпал ететін ішіжасушалық сигналдық каскадтардың белсендірілуімен байланысты екені көрсетілген. ТБЖА фонында ӨАГ бар пациенттерде серотонинергиялық жүйенің кейбір өзгерістері сипатталған. Сонымен қатар, жарияланған жұмыстардың көпшілігі бір мезеттік сипатқа ие және серотонинергиялық жүйедегі өзгерістердің операцияға дейінгі және операциядан кейінгі кезеңдегі динамикасын толық бағалауға мүмкіндік бермейді, бұл осы көрсеткіштерді пациенттердің жағдайын бақылау маркерлері ретінде практикалық қолдану мүмкіндіктерін елеулі түрде шектейді [7, 8].</w:t>
      </w:r>
    </w:p>
    <w:p w14:paraId="1D5B0D0E" w14:textId="17268ABE" w:rsidR="00CC1100" w:rsidRP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Серотонинергиялық жүйемен қатар, біздің зерттеуіміз инсулинтәрізді өсу факторы-1 (ИТӨФ-1) зерттеуді де қамтыды. ИТӨФ-1 эндотелий жасушаларының пролиферациясы мен дифференцировкасын, ангиогенезді, сондай-ақ тамыр қабырғасының механикалық және гипоксиялық стреске бейімделу реакцияларын реттеуге қатысады. Әдебиеттерде өкпе гипертензиясының әртүрлі формаларында ИТӨФ-1 деңгейінің өзгеруі туралы мәліметтер келтірілген, алайда бұл зерттеулердің нәтижелері біржақты емес және көбінесе пациенттердің жасына, аурудың сатысына және жүргізіліп жатқан терапияға байланысты. Әсіресе ӨАГ-мен асқынған ТБЖА бар балалардағы ИТӨФ-1 рөлі, сондай-ақ ақауды хирургиялық коррекциялағаннан кейінгі оның динамикасы туралы мәліметтер шектеулі, бұл осы бағытта одан әрі мақсатты зерттеулер жүргізу қажеттілігін көрсетеді [9].</w:t>
      </w:r>
    </w:p>
    <w:p w14:paraId="1B7324E2" w14:textId="2E34257D" w:rsidR="00CC1100" w:rsidRP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ТБЖА бар балалардағы ӨАГ диагностикасы мен емінің заманауи тәсілдері көп жағдайда клиникалық және аспаптық көрсеткіштерге бағытталған, ал ауру патогенезінің биохимиялық және молекулалық маркерлері клиникалық практикаға жеткілікті түрде енгізілмеген. Бұл өкпе тамырлық патологиясының қалыптасуына қатысатын негізгі реттеуші жүйелерді кешенді талдаудың өзектілігін айқындайды.</w:t>
      </w:r>
    </w:p>
    <w:p w14:paraId="6FDFB60F" w14:textId="77777777" w:rsid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sz w:val="28"/>
          <w:szCs w:val="28"/>
        </w:rPr>
        <w:t xml:space="preserve">Осылайша, операцияға дейінгі және операциядан кейінгі кезеңде ӨАГ бар балаларда серотониннің, оның негізгі метаболиті 5-ГИУК және инсулинтәрізді өсу факторы-1 метаболизмін кешенді зерттеу перспективалы бағыт болып табылады. Мұндай тәсіл ТБЖА кезінде өкпе гипертензиясының дамуы мен тұрақтануының патогенетикалық механизмдерін түсінуді </w:t>
      </w:r>
      <w:r w:rsidRPr="00CC1100">
        <w:rPr>
          <w:rFonts w:ascii="Times New Roman" w:hAnsi="Times New Roman" w:cs="Times New Roman"/>
          <w:sz w:val="28"/>
          <w:szCs w:val="28"/>
        </w:rPr>
        <w:lastRenderedPageBreak/>
        <w:t>тереңдетіп қана қоймай, сонымен қатар ерте диагностикаға, аурудың ағымын болжауға және хирургиялық коррекцияның тиімділігін объективті бағалауға жарамды ықтимал биомаркерлерді анықтауға мүмкіндік береді.</w:t>
      </w:r>
    </w:p>
    <w:p w14:paraId="2833A058" w14:textId="77777777" w:rsidR="00CC1100" w:rsidRDefault="00CC1100" w:rsidP="00CC1100">
      <w:pPr>
        <w:ind w:firstLine="709"/>
        <w:jc w:val="both"/>
        <w:rPr>
          <w:rFonts w:ascii="Times New Roman" w:hAnsi="Times New Roman" w:cs="Times New Roman"/>
          <w:sz w:val="28"/>
          <w:szCs w:val="28"/>
        </w:rPr>
      </w:pPr>
      <w:r w:rsidRPr="00CC1100">
        <w:rPr>
          <w:rFonts w:ascii="Times New Roman" w:hAnsi="Times New Roman" w:cs="Times New Roman"/>
          <w:b/>
          <w:bCs/>
          <w:sz w:val="28"/>
          <w:szCs w:val="28"/>
        </w:rPr>
        <w:t xml:space="preserve">Зерттеудің мақсаты – </w:t>
      </w:r>
      <w:r w:rsidRPr="00CC1100">
        <w:rPr>
          <w:rFonts w:ascii="Times New Roman" w:hAnsi="Times New Roman" w:cs="Times New Roman"/>
          <w:sz w:val="28"/>
          <w:szCs w:val="28"/>
        </w:rPr>
        <w:t>өкпе гипертензиясымен асқынған туа біткен жүрек ақаулары бар балаларда серотонин метаболизміне кешенді бағалау жүргізу.</w:t>
      </w:r>
    </w:p>
    <w:p w14:paraId="5D43EB85" w14:textId="77777777" w:rsidR="00CC1100" w:rsidRDefault="00CC1100" w:rsidP="00CC1100">
      <w:pPr>
        <w:ind w:firstLine="709"/>
        <w:jc w:val="both"/>
        <w:rPr>
          <w:rFonts w:ascii="Times New Roman" w:eastAsia="Times New Roman" w:hAnsi="Times New Roman" w:cs="Times New Roman"/>
          <w:b/>
          <w:bCs/>
          <w:sz w:val="28"/>
          <w:szCs w:val="28"/>
        </w:rPr>
      </w:pPr>
      <w:r w:rsidRPr="00CC1100">
        <w:rPr>
          <w:rFonts w:ascii="Times New Roman" w:eastAsia="Times New Roman" w:hAnsi="Times New Roman" w:cs="Times New Roman"/>
          <w:b/>
          <w:bCs/>
          <w:sz w:val="28"/>
          <w:szCs w:val="28"/>
        </w:rPr>
        <w:t>Зерттеудің міндеттері:</w:t>
      </w:r>
    </w:p>
    <w:p w14:paraId="051EA732" w14:textId="77777777" w:rsidR="00CC1100" w:rsidRPr="00CC1100" w:rsidRDefault="00CC1100" w:rsidP="00CC1100">
      <w:pPr>
        <w:pStyle w:val="ListParagraph"/>
        <w:numPr>
          <w:ilvl w:val="0"/>
          <w:numId w:val="18"/>
        </w:numPr>
        <w:jc w:val="both"/>
        <w:rPr>
          <w:rFonts w:ascii="Times New Roman" w:eastAsia="Times New Roman" w:hAnsi="Times New Roman" w:cs="Times New Roman"/>
          <w:color w:val="000000"/>
          <w:kern w:val="0"/>
          <w:sz w:val="28"/>
          <w:szCs w:val="28"/>
          <w14:ligatures w14:val="none"/>
        </w:rPr>
      </w:pPr>
      <w:r w:rsidRPr="00CC1100">
        <w:rPr>
          <w:rFonts w:ascii="Times New Roman" w:eastAsia="Times New Roman" w:hAnsi="Times New Roman" w:cs="Times New Roman"/>
          <w:color w:val="000000"/>
          <w:kern w:val="0"/>
          <w:sz w:val="28"/>
          <w:szCs w:val="28"/>
          <w14:ligatures w14:val="none"/>
        </w:rPr>
        <w:t>Өкпе гипертензиясымен асқынған туа біткен жүрек ақаулары бар балаларда серотонинергиялық жүйенің жағдайын қан плазмасындағы, тромбоциттік пулдағы және зәрдегі серотониннің метаболизмі, тасымалы және рецепциясы көрсеткіштері бойынша зерттеу.</w:t>
      </w:r>
    </w:p>
    <w:p w14:paraId="0400CC62" w14:textId="77777777" w:rsidR="00CC1100" w:rsidRPr="00CC1100" w:rsidRDefault="00CC1100" w:rsidP="00CC1100">
      <w:pPr>
        <w:pStyle w:val="ListParagraph"/>
        <w:numPr>
          <w:ilvl w:val="0"/>
          <w:numId w:val="18"/>
        </w:numPr>
        <w:jc w:val="both"/>
        <w:rPr>
          <w:rFonts w:ascii="Times New Roman" w:eastAsia="Times New Roman" w:hAnsi="Times New Roman" w:cs="Times New Roman"/>
          <w:color w:val="000000"/>
          <w:kern w:val="0"/>
          <w:sz w:val="28"/>
          <w:szCs w:val="28"/>
          <w14:ligatures w14:val="none"/>
        </w:rPr>
      </w:pPr>
      <w:r w:rsidRPr="00CC1100">
        <w:rPr>
          <w:rFonts w:ascii="Times New Roman" w:eastAsia="Times New Roman" w:hAnsi="Times New Roman" w:cs="Times New Roman"/>
          <w:color w:val="000000"/>
          <w:kern w:val="0"/>
          <w:sz w:val="28"/>
          <w:szCs w:val="28"/>
          <w14:ligatures w14:val="none"/>
        </w:rPr>
        <w:t>Плазмадағы және тромбоциттердегі инсулинтәрізді өсу факторы-1 (ИТӨФ-1) деңгейін бағалау және оның серотонинергиялық жүйе параметрлерімен, сондай-ақ пациенттердің клиникалық-аспаптық сипаттамаларымен өзара байланысын талдау.</w:t>
      </w:r>
    </w:p>
    <w:p w14:paraId="2DAD8D51" w14:textId="77777777" w:rsidR="00CC1100" w:rsidRPr="00CC1100" w:rsidRDefault="00CC1100" w:rsidP="00CC1100">
      <w:pPr>
        <w:pStyle w:val="ListParagraph"/>
        <w:numPr>
          <w:ilvl w:val="0"/>
          <w:numId w:val="18"/>
        </w:numPr>
        <w:jc w:val="both"/>
        <w:rPr>
          <w:rFonts w:ascii="Times New Roman" w:eastAsia="Times New Roman" w:hAnsi="Times New Roman" w:cs="Times New Roman"/>
          <w:color w:val="000000"/>
          <w:kern w:val="0"/>
          <w:sz w:val="28"/>
          <w:szCs w:val="28"/>
          <w14:ligatures w14:val="none"/>
        </w:rPr>
      </w:pPr>
      <w:r w:rsidRPr="00CC1100">
        <w:rPr>
          <w:rFonts w:ascii="Times New Roman" w:eastAsia="Times New Roman" w:hAnsi="Times New Roman" w:cs="Times New Roman"/>
          <w:color w:val="000000"/>
          <w:kern w:val="0"/>
          <w:sz w:val="28"/>
          <w:szCs w:val="28"/>
          <w14:ligatures w14:val="none"/>
        </w:rPr>
        <w:t>Зерттелетін биохимиялық және молекулалық көрсеткіштер негізінде интегралды диагностикалық индекстерді қалыптастыру және осы индекстердің диагностикалық және болжамдық маңыздылығын анықтау үшін олардың клиникалық-аспаптық параметрлермен өзара байланысын бағалау.</w:t>
      </w:r>
    </w:p>
    <w:p w14:paraId="2E6FFCA1" w14:textId="76131B5D" w:rsidR="00CC1100" w:rsidRPr="00CC1100" w:rsidRDefault="00CC1100" w:rsidP="00CC1100">
      <w:pPr>
        <w:pStyle w:val="ListParagraph"/>
        <w:numPr>
          <w:ilvl w:val="0"/>
          <w:numId w:val="18"/>
        </w:numPr>
        <w:jc w:val="both"/>
        <w:rPr>
          <w:rFonts w:ascii="Times New Roman" w:eastAsia="Times New Roman" w:hAnsi="Times New Roman" w:cs="Times New Roman"/>
          <w:color w:val="000000"/>
          <w:kern w:val="0"/>
          <w:sz w:val="28"/>
          <w:szCs w:val="28"/>
          <w14:ligatures w14:val="none"/>
        </w:rPr>
      </w:pPr>
      <w:r w:rsidRPr="00CC1100">
        <w:rPr>
          <w:rFonts w:ascii="Times New Roman" w:eastAsia="Times New Roman" w:hAnsi="Times New Roman" w:cs="Times New Roman"/>
          <w:color w:val="000000"/>
          <w:kern w:val="0"/>
          <w:sz w:val="28"/>
          <w:szCs w:val="28"/>
          <w14:ligatures w14:val="none"/>
        </w:rPr>
        <w:t>Интегралды индекстердің клиникалық-аспаптық параметрлермен өзара байланысын бағалау және осы индекстердің диагностикалық және болжамдық маңыздылығын анықтау.</w:t>
      </w:r>
    </w:p>
    <w:p w14:paraId="6F6F09B6" w14:textId="77AE017A" w:rsidR="00EF6FF4" w:rsidRPr="00EF6FF4" w:rsidRDefault="00CC1100" w:rsidP="00EF6FF4">
      <w:pPr>
        <w:ind w:firstLine="709"/>
        <w:jc w:val="both"/>
        <w:rPr>
          <w:rFonts w:ascii="Times New Roman" w:hAnsi="Times New Roman" w:cs="Times New Roman"/>
          <w:color w:val="000000" w:themeColor="text1"/>
          <w:spacing w:val="2"/>
          <w:sz w:val="28"/>
          <w:szCs w:val="28"/>
        </w:rPr>
      </w:pPr>
      <w:bookmarkStart w:id="0" w:name="OLE_LINK1"/>
      <w:bookmarkStart w:id="1" w:name="OLE_LINK2"/>
      <w:r w:rsidRPr="00CC1100">
        <w:rPr>
          <w:rFonts w:ascii="Times New Roman" w:hAnsi="Times New Roman" w:cs="Times New Roman"/>
          <w:b/>
          <w:bCs/>
          <w:color w:val="000000" w:themeColor="text1"/>
          <w:spacing w:val="2"/>
          <w:sz w:val="28"/>
          <w:szCs w:val="28"/>
        </w:rPr>
        <w:t xml:space="preserve">Ғылыми жаңалық. </w:t>
      </w:r>
      <w:r w:rsidR="00EF6FF4" w:rsidRPr="00EF6FF4">
        <w:rPr>
          <w:rFonts w:ascii="Times New Roman" w:hAnsi="Times New Roman" w:cs="Times New Roman"/>
          <w:color w:val="000000" w:themeColor="text1"/>
          <w:spacing w:val="2"/>
          <w:sz w:val="28"/>
          <w:szCs w:val="28"/>
        </w:rPr>
        <w:t>Туа біткен жүрек ақаулары (ТБЖА) өкпе артериялық гипертензиясымен (ӨАГ) асқынған ерте жастағы балаларда хирургиялық коррекцияға дейін және одан кейін плазма мен зәрдегі серотониннің және оның метаболиті 5-гидроксииндолсірке қышқылының (5-ГИСҚ) метаболизмі динамикасын кешенді зерттеу алғаш рет жүргізілді.</w:t>
      </w:r>
    </w:p>
    <w:p w14:paraId="20EEE62D" w14:textId="149D7569"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Біз жүргізген зерттеу ӨАГ-мен ауыратын пациенттерде серотонин мен оның негізгі метаболиті - 5-ГИСҚ концентрациясының терең өзгерістері тіркелетінін сенімді түрде көрсетеді. Кіші қанайналым шеңберінің тамырлы арнасында және тікелей өкпе тамырлы қабырғасында өрбитін патофизиологиялық процестердің күрделі бейнесін көрсететін бұл ығысулар ерекше назар аударуға лайық.</w:t>
      </w:r>
    </w:p>
    <w:p w14:paraId="2E343BD8" w14:textId="4BDA6690"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Алғаш рет біз плазмада айналатын серотонин деңгейі мен серотонин тасымалдаушысының белсенділігі арасында тікелей өзара байланыс орнататын мәліметтер алдық. Оның үстіне, орындалған хирургиялық араласудан кейін сипатты өзгерістерге ұшырайтын осы көрсеткіштердің айқын динамикасы байқалды.</w:t>
      </w:r>
    </w:p>
    <w:p w14:paraId="0BDA79B6" w14:textId="6CE943C9"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lastRenderedPageBreak/>
        <w:t>Әдебиеттерде ИТӨФ-1-нің тамырлық тонус пен қайта құрылымдауды реттеудегі рөлі туралы нұсқаулар болғанына қарамастан, оның балалардағы ТБЖА фонында дамыған ӨАГ кезіндегі мінез-құлқы зерттелмеген күйінде қалды. Біз алған нәтижелер осы олқылықты толтырады, бұл ИТӨФ-1-ді науқастардың осы күрделі санатындағы тамыр қабырғасының қайта құрылымдау процестерін көрсететін қосымша, патогенетикалық маңызды маркер ретінде қарастыруға мүмкіндік береді.</w:t>
      </w:r>
    </w:p>
    <w:p w14:paraId="49EFDE35" w14:textId="4A990F35"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Сондай-ақ, ИТӨФ-1 динамикасын серотонин алмасуының көрсеткіштерімен өзара байланыста салыстырмалы талдау алғаш рет жүзеге асырылды. Жүргізілген салыстыру өзгерістердің параллелизмін анықтап қана қоймай, сәтті хирургиялық емдеуден кейін де өкпе гипертензиясының прогрессиясына жауапты бұрын белгісіз патогенетикалық буындарды анықтауға мүмкіндік берді.</w:t>
      </w:r>
    </w:p>
    <w:p w14:paraId="4EBC0EBA" w14:textId="562E55A9"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Балалардағы ӨАГ-ге арналған ерте зерттеулерді талдай отырып, олардың фрагменттілігін байқамау мүмкін емес: серотонинергиялық жүйенің жекелеген параметрлері, ол серотонин концентрациясы, оның метаболитінің (5-ГИСҚ) деңгейі немесе SERT тасымалдаушысының белсенділігі болсын, оқшауланған түрде зерттелді. ӨАГ-мен ауыртпалықталған ТБЖА бар балаларда серотонин метаболизміне тұтас, интегративті жүйе ретінде кешенді бағалау әлі күнге дейін жүргізілмеген (кем дегенде, бізге қолжетімді ғылыми әдебиетте). Осы жұмыста бұл олқылық толтырылған: алғаш рет серотонин алмасуының негізгі буындарын қамтитын және олардың ақауды оперативті коррекциялауға дейінгі және одан кейінгі динамикадағы өзгерістерін бақылайтын жинақталған зерттеу ұсынылған.</w:t>
      </w:r>
    </w:p>
    <w:p w14:paraId="1D272EA8" w14:textId="2A7E9BDE" w:rsidR="00EF6FF4" w:rsidRP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Барлығы алынған нәтижелер серотонинергиялық жүйе мен ИТӨФ-1-нің туа біткен жүрек ақаулары бар балалардағы ӨАГ дамуы мен ағымына әсерін жаңа позициялардан сипаттауға ғана мүмкіндік беріп қоймайды, сонымен қатар тамырлық қайта құрылымдаудың метаболизмдік аспектілері туралы қолданыстағы түсініктерді едәуір кеңейтеді, сондай-ақ орындалған хирургиялық араласудың тиімділігін бағалау үшін қосымша мүмкіндіктер ашады.</w:t>
      </w:r>
    </w:p>
    <w:p w14:paraId="458FEE30" w14:textId="77777777" w:rsidR="00EF6FF4" w:rsidRDefault="00EF6FF4" w:rsidP="00EF6FF4">
      <w:pPr>
        <w:ind w:firstLine="709"/>
        <w:jc w:val="both"/>
        <w:rPr>
          <w:rFonts w:ascii="Times New Roman" w:hAnsi="Times New Roman" w:cs="Times New Roman"/>
          <w:color w:val="000000" w:themeColor="text1"/>
          <w:spacing w:val="2"/>
          <w:sz w:val="28"/>
          <w:szCs w:val="28"/>
        </w:rPr>
      </w:pPr>
      <w:r w:rsidRPr="00EF6FF4">
        <w:rPr>
          <w:rFonts w:ascii="Times New Roman" w:hAnsi="Times New Roman" w:cs="Times New Roman"/>
          <w:color w:val="000000" w:themeColor="text1"/>
          <w:spacing w:val="2"/>
          <w:sz w:val="28"/>
          <w:szCs w:val="28"/>
        </w:rPr>
        <w:t>Зияткерлік меншік объектілеріне куәліктер алынды: 2025 жылғы 17 наурыздағы № 55841 «Балалардағы өкпе гипертензиясын диагностикалау мен емдеудің молекулалық технологияларында инсулинтәрізді өсу факторы-1 (ИТӨФ-1) қолдану перспективалары»; 2026 жылғы 28 қаңтардағы № 66780 «Балалардағы өкпе гипертензиясын ерте диагностикалау және болжау тәсілі ретінде 5-гидроксииндолсірке қышқылын (5-ГИСҚ) қолдану».</w:t>
      </w:r>
    </w:p>
    <w:p w14:paraId="1DF86164" w14:textId="7A5D0970"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b/>
          <w:color w:val="000000" w:themeColor="text1"/>
          <w:spacing w:val="2"/>
          <w:sz w:val="28"/>
          <w:szCs w:val="28"/>
        </w:rPr>
        <w:t xml:space="preserve">Практикалық маңыздылығы. </w:t>
      </w:r>
      <w:r w:rsidRPr="00EF6FF4">
        <w:rPr>
          <w:rFonts w:ascii="Times New Roman" w:hAnsi="Times New Roman" w:cs="Times New Roman"/>
          <w:color w:val="000000"/>
          <w:sz w:val="28"/>
          <w:szCs w:val="28"/>
        </w:rPr>
        <w:t xml:space="preserve">Біз орындаған зерттеудің практикалық құндылығы, ең алдымен, ТБЖА фонында балаларда дамыған ӨАГ ағымын диагностикалауды жетілдіру, мониторинг жүргізу және болжау дәлдігін </w:t>
      </w:r>
      <w:r w:rsidRPr="00EF6FF4">
        <w:rPr>
          <w:rFonts w:ascii="Times New Roman" w:hAnsi="Times New Roman" w:cs="Times New Roman"/>
          <w:color w:val="000000"/>
          <w:sz w:val="28"/>
          <w:szCs w:val="28"/>
        </w:rPr>
        <w:lastRenderedPageBreak/>
        <w:t>арттыру үшін алынған нәтижелерді пайдалану мүмкіндігімен анықталады. Бұл деректерді ақаудың орындалған хирургиялық коррекциясының тиімділігін объективті бағалау үшін қолдану да болашақ зерттеулердің перспективасы ретінде одан кем емес маңызды болып табылады.</w:t>
      </w:r>
    </w:p>
    <w:p w14:paraId="5BC6339A" w14:textId="5E4007BF"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t>Жұмыс барысында біз өте сезімтал болып табылатын және кіші шеңбердегі гипертензиялық өзгерістердің ауырлық дәрежесін де, тамырлық қайта құрылымдау процестерінің динамикасын да көрсететін нақты биохимиялық маркерлерді анықтадық. Операцияға дейін және одан кейін қан плазмасы мен зәрдегі серотонин мен оның негізгі метаболиті 5-ГИСҚ концентрациясын анықтау хирургиялық емдеудің нәтижелілігін, сондай-ақ өкпе гипертензиясының төмендеуін бағалау үшін сенімді құрал ретінде қызмет ете алады. Бұдан басқа, бұл тәсіл операциядан кейінгі кезеңдегі жағдайды бақылауға, өкпе гипертензиясының персистенциясы жағдайларын уақтылы анықтауға мүмкіндік береді.</w:t>
      </w:r>
    </w:p>
    <w:p w14:paraId="3FD2A4D7" w14:textId="5976002E"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t>ӨАГ-мен асқынған ТБЖА бар балаларда биомаркерлердің біз анықтаған диагностикалық және болжамдық маңыздылығын ерекше атап өту керек. Осы көрсеткіштерді клиникалық практикада пайдалана отырып, біз пациенттерге персонализацияланған тәсілді жүзеге асыруға, қалдық өкпе гипертензиясының даму қаупін дәлірек анықтауға және хирургиялық коррекцияның ұзақ мерзімді нәтижелерін үлкен сенімділікпен болжауға мүмкіндік аламыз.</w:t>
      </w:r>
    </w:p>
    <w:p w14:paraId="27F1768D" w14:textId="1EF1BDBA"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t>Науқастардың осы санатындағы ИТӨФ-1 динамикасына қатысты мүлдем жаңа мәліметтер де алынды. Анықталған заңдылықтар ИТӨФ-1-ді тамыр қабырғасының қайта құрылымдау процестеріне сезімтал әрекет ететін әлеуетті маркер ретінде қарастыруға мүмкіндік береді. Стандартты диагностикалық алгоритмдерге енгізілген ИТӨФ-1 динамикасын талдау ақаудың хирургиялық коррекциясын өткерген пациенттерді басқару тактикасын елеулі түрде оңтайландыра алады.</w:t>
      </w:r>
    </w:p>
    <w:p w14:paraId="2A746279" w14:textId="3B085A51"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t>Серотонин мен оның туындылары метаболизмін кешенді зерттеу, ИТӨФ-1 талдауымен толықтырылғанда, өкпе тамырлы арнасының жағдайын неғұрлым жіңішке және дәл бағалау үшін жаңа мүмкіндіктер ашатыны айқын көрінеді. Мұндай тәсіл екіншілік өкпе гипертензиясының қалыптасуын уақтылы анықтап қана қоймай, оның одан әрі прогрессиясының алдын алуға бағытталған іс-шараларды жүргізуге мүмкіндік береді.</w:t>
      </w:r>
    </w:p>
    <w:p w14:paraId="4DF27906" w14:textId="77777777" w:rsidR="00EF6FF4" w:rsidRP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t>Біз алған нәтижелер, әрине, клиникалық практикада – осы күрделі патологиямен күнделікті бетпе-бет келетін кардиологтардың, кардиохирургтердің және педиатрлардың жұмысында қолданыс табады. Сонымен қатар, зерттеудің негізгі ережелері мен қорытындылары «Қарағанды медициналық университеті» КеАҚ оқу процесіне енгізілген, бұл болашақ мамандарды даярлауға ықпал етеді.</w:t>
      </w:r>
    </w:p>
    <w:p w14:paraId="6A19B671" w14:textId="77777777" w:rsidR="00EF6FF4" w:rsidRPr="00EF6FF4" w:rsidRDefault="00EF6FF4" w:rsidP="00EF6FF4">
      <w:pPr>
        <w:ind w:firstLine="709"/>
        <w:jc w:val="both"/>
        <w:rPr>
          <w:rFonts w:ascii="Times New Roman" w:hAnsi="Times New Roman" w:cs="Times New Roman"/>
          <w:color w:val="000000"/>
          <w:sz w:val="28"/>
          <w:szCs w:val="28"/>
        </w:rPr>
      </w:pPr>
    </w:p>
    <w:p w14:paraId="422CD53A" w14:textId="77777777" w:rsidR="00EF6FF4" w:rsidRDefault="00EF6FF4" w:rsidP="00EF6FF4">
      <w:pPr>
        <w:ind w:firstLine="709"/>
        <w:jc w:val="both"/>
        <w:rPr>
          <w:rFonts w:ascii="Times New Roman" w:hAnsi="Times New Roman" w:cs="Times New Roman"/>
          <w:color w:val="000000"/>
          <w:sz w:val="28"/>
          <w:szCs w:val="28"/>
        </w:rPr>
      </w:pPr>
      <w:r w:rsidRPr="00EF6FF4">
        <w:rPr>
          <w:rFonts w:ascii="Times New Roman" w:hAnsi="Times New Roman" w:cs="Times New Roman"/>
          <w:color w:val="000000"/>
          <w:sz w:val="28"/>
          <w:szCs w:val="28"/>
        </w:rPr>
        <w:lastRenderedPageBreak/>
        <w:t>Біз ұсынып отырған диагностикалық және болжамдық тәсілдерді денсаулық сақтаудың күнделікті практикасына енгізу ТБЖА бар пациенттерге көрсетілетін медициналық көмектің сапасын арттыруға, қалдық өкпе гипертензиясының даму қаупін төмендетуге және соңында науқастардың осы ауыр санатын хирургиялық емдеудің тиімділігін арттыруға ықпал етеді.</w:t>
      </w:r>
    </w:p>
    <w:p w14:paraId="2756F1F6" w14:textId="12B15ABF" w:rsidR="00AC4D7A" w:rsidRPr="006E27CF" w:rsidRDefault="00EF6FF4" w:rsidP="00EF6FF4">
      <w:pPr>
        <w:ind w:firstLine="709"/>
        <w:jc w:val="both"/>
        <w:rPr>
          <w:rFonts w:ascii="Times New Roman" w:hAnsi="Times New Roman" w:cs="Times New Roman"/>
          <w:b/>
          <w:bCs/>
          <w:color w:val="000000"/>
          <w:sz w:val="28"/>
          <w:szCs w:val="28"/>
        </w:rPr>
      </w:pPr>
      <w:r w:rsidRPr="00EF6FF4">
        <w:rPr>
          <w:rFonts w:ascii="Times New Roman" w:hAnsi="Times New Roman" w:cs="Times New Roman"/>
          <w:b/>
          <w:bCs/>
          <w:color w:val="000000"/>
          <w:sz w:val="28"/>
          <w:szCs w:val="28"/>
        </w:rPr>
        <w:t>Қорғауға шығарылатын ережелер:</w:t>
      </w:r>
    </w:p>
    <w:p w14:paraId="2941E80C" w14:textId="77777777" w:rsidR="00EF6FF4" w:rsidRPr="00EF6FF4" w:rsidRDefault="00EF6FF4" w:rsidP="00EF6FF4">
      <w:pPr>
        <w:pStyle w:val="ds-markdown-paragraph"/>
        <w:numPr>
          <w:ilvl w:val="0"/>
          <w:numId w:val="19"/>
        </w:numPr>
        <w:spacing w:before="0" w:beforeAutospacing="0" w:after="0" w:afterAutospacing="0"/>
        <w:jc w:val="both"/>
        <w:rPr>
          <w:color w:val="0F1115"/>
          <w:sz w:val="28"/>
          <w:szCs w:val="28"/>
        </w:rPr>
      </w:pPr>
      <w:r w:rsidRPr="00EF6FF4">
        <w:rPr>
          <w:color w:val="0F1115"/>
          <w:sz w:val="28"/>
          <w:szCs w:val="28"/>
        </w:rPr>
        <w:t>Туа біткен жүрек ақаулары бар балалардағы өкпе артериялық гипертензиясы кезіндегі серотонинергиялық реттелудің бұзылуы серотониннің таралуының өзгеруімен сипатталады, бұл SERT мембраналық тасымалдаушысының концентрациясында тұрақты топаралық айырмашылықтар болмаған жағдайда айналатын деңгейлердің жоғарылау тенденциясымен (бақылаумен салыстырғанда 3 еседен астам) қатар оның іштромбоцитарлық депонирленуінің төмендеуімен көрініс табады. Бұл ерекшеліктер серотонинді депонирлеу және тасымалдау процестерінің дисрегуляциясын осы аурудың патофизиологиялық механизмдерінің бірі ретінде көрсетеді.</w:t>
      </w:r>
    </w:p>
    <w:p w14:paraId="606FCC1B" w14:textId="77777777" w:rsidR="00EF6FF4" w:rsidRPr="00EF6FF4" w:rsidRDefault="00EF6FF4" w:rsidP="00EF6FF4">
      <w:pPr>
        <w:pStyle w:val="ds-markdown-paragraph"/>
        <w:numPr>
          <w:ilvl w:val="0"/>
          <w:numId w:val="19"/>
        </w:numPr>
        <w:spacing w:before="0" w:beforeAutospacing="0" w:after="0" w:afterAutospacing="0"/>
        <w:jc w:val="both"/>
        <w:rPr>
          <w:color w:val="0F1115"/>
          <w:sz w:val="28"/>
          <w:szCs w:val="28"/>
        </w:rPr>
      </w:pPr>
      <w:r w:rsidRPr="00EF6FF4">
        <w:rPr>
          <w:color w:val="0F1115"/>
          <w:sz w:val="28"/>
          <w:szCs w:val="28"/>
        </w:rPr>
        <w:t>Туа біткен жүрек ақаулары бар балалардағы өкпе артериялық гипертензиясы кезіндегі серотонин метаболизмі оның катаболизмі мен шығарылу теңгерімінің өзгеруімен сипатталады, бұл қан плазмасындағы 5-гидроксииндолсірке қышқылы (5-ГИСҚ) концентрациясының (1,4 есе) төмендеуімен және оның зәрмен экскрециясының (6,6 есе) жоғарылауымен көрінеді. Анықталған ерекшеліктер серотонинергиялық жүйенің айналатын және метаболизмдік буындары арасындағы теңгерімсіздікті көрсетеді.</w:t>
      </w:r>
    </w:p>
    <w:p w14:paraId="3BF6070B" w14:textId="77777777" w:rsidR="00EF6FF4" w:rsidRPr="00EF6FF4" w:rsidRDefault="00EF6FF4" w:rsidP="00EF6FF4">
      <w:pPr>
        <w:pStyle w:val="ds-markdown-paragraph"/>
        <w:numPr>
          <w:ilvl w:val="0"/>
          <w:numId w:val="19"/>
        </w:numPr>
        <w:spacing w:before="0" w:beforeAutospacing="0" w:after="0" w:afterAutospacing="0"/>
        <w:jc w:val="both"/>
        <w:rPr>
          <w:color w:val="0F1115"/>
          <w:sz w:val="28"/>
          <w:szCs w:val="28"/>
        </w:rPr>
      </w:pPr>
      <w:r w:rsidRPr="00EF6FF4">
        <w:rPr>
          <w:color w:val="0F1115"/>
          <w:sz w:val="28"/>
          <w:szCs w:val="28"/>
        </w:rPr>
        <w:t>Туа біткен жүрек ақаулары бар балалардағы өкпе артериялық гипертензиясы қан плазмасындағы инсулинтәрізді өсу факторы-1 (ИТӨФ-1) деңгейінің төмендеуімен (1,9 есе) байланысты, оның іштромбоцитарлық құрамында статистикалық маңызды өзгерістер болмаған кезде, бұл осы аурудың патогенезінде өсу факторларының жүйелік пулының басым рөлін көрсетеді.</w:t>
      </w:r>
    </w:p>
    <w:p w14:paraId="687905AA" w14:textId="77777777" w:rsidR="00EF6FF4" w:rsidRPr="00EF6FF4" w:rsidRDefault="00EF6FF4" w:rsidP="00EF6FF4">
      <w:pPr>
        <w:pStyle w:val="ds-markdown-paragraph"/>
        <w:numPr>
          <w:ilvl w:val="0"/>
          <w:numId w:val="19"/>
        </w:numPr>
        <w:spacing w:before="0" w:beforeAutospacing="0" w:after="0" w:afterAutospacing="0"/>
        <w:jc w:val="both"/>
        <w:rPr>
          <w:color w:val="0F1115"/>
          <w:sz w:val="28"/>
          <w:szCs w:val="28"/>
        </w:rPr>
      </w:pPr>
      <w:r w:rsidRPr="00EF6FF4">
        <w:rPr>
          <w:color w:val="0F1115"/>
          <w:sz w:val="28"/>
          <w:szCs w:val="28"/>
        </w:rPr>
        <w:t>Серотонинергиялық жүйе мен ИТӨФ-1 көрсеткіштері негізінде 5-ГИСҚ тромбоциттер/плазма (1,5 есе жоғарылаған), SERT/серотонин (1,6 есе жоғарылаған) және ИТӨФ-1 плазма/тромбоциттер (14,9 есе төмендеген) сияқты интегралды диагностикалық индекстерді қалыптастыру бақылаумен салыстырғанда пациенттерде метаболиттер мен өсу факторларының компартментаралық қайта бөлінуін сандық сипаттауға мүмкіндік береді.</w:t>
      </w:r>
    </w:p>
    <w:p w14:paraId="05DB2E57" w14:textId="77777777" w:rsidR="00EF6FF4" w:rsidRPr="00EF6FF4" w:rsidRDefault="00EF6FF4" w:rsidP="00EF6FF4">
      <w:pPr>
        <w:pStyle w:val="ds-markdown-paragraph"/>
        <w:numPr>
          <w:ilvl w:val="0"/>
          <w:numId w:val="19"/>
        </w:numPr>
        <w:spacing w:before="0" w:beforeAutospacing="0" w:after="0" w:afterAutospacing="0"/>
        <w:jc w:val="both"/>
        <w:rPr>
          <w:color w:val="0F1115"/>
          <w:sz w:val="28"/>
          <w:szCs w:val="28"/>
        </w:rPr>
      </w:pPr>
      <w:r w:rsidRPr="00EF6FF4">
        <w:rPr>
          <w:color w:val="0F1115"/>
          <w:sz w:val="28"/>
          <w:szCs w:val="28"/>
        </w:rPr>
        <w:t xml:space="preserve">Алынған интегралды индекстердің клиникалық-аспаптық параметрлермен өзара байланысын бағалау олардың туа біткен жүрек ақаулары бар балалардағы өкпе артериялық гипертензиясы кезіндегі жоғары диагностикалық және болжамдық маңыздылығын анықтауға мүмкіндік </w:t>
      </w:r>
      <w:r w:rsidRPr="00EF6FF4">
        <w:rPr>
          <w:color w:val="0F1115"/>
          <w:sz w:val="28"/>
          <w:szCs w:val="28"/>
        </w:rPr>
        <w:lastRenderedPageBreak/>
        <w:t>береді, бұл гемодинамикалық көрсеткіштермен күшті корреляциялардың болуымен және ROC-талдау мәліметтері бойынша жоғары сезімталдық пен спецификалықпен расталады.</w:t>
      </w:r>
    </w:p>
    <w:p w14:paraId="566EC4D6" w14:textId="77777777" w:rsidR="00EF6FF4" w:rsidRDefault="00EF6FF4" w:rsidP="00EF6FF4">
      <w:pPr>
        <w:ind w:firstLine="851"/>
        <w:jc w:val="both"/>
        <w:rPr>
          <w:rFonts w:ascii="Times New Roman" w:hAnsi="Times New Roman" w:cs="Times New Roman"/>
          <w:sz w:val="28"/>
          <w:szCs w:val="28"/>
        </w:rPr>
      </w:pPr>
      <w:r w:rsidRPr="00EF6FF4">
        <w:rPr>
          <w:rFonts w:ascii="Times New Roman" w:hAnsi="Times New Roman" w:cs="Times New Roman"/>
          <w:b/>
          <w:bCs/>
          <w:sz w:val="28"/>
          <w:szCs w:val="28"/>
        </w:rPr>
        <w:t xml:space="preserve">Зерттеу нәтижелерін енгізу. </w:t>
      </w:r>
      <w:r w:rsidRPr="00EF6FF4">
        <w:rPr>
          <w:rFonts w:ascii="Times New Roman" w:hAnsi="Times New Roman" w:cs="Times New Roman"/>
          <w:sz w:val="28"/>
          <w:szCs w:val="28"/>
        </w:rPr>
        <w:t>Осы зерттеудің нәтижелері педиатрия кафедрасының неонатология курсындағы оқу процесіне «Медицина» мамандығының 6-курс студенттеріне «Жалпы дәрігерлік тәжірибедегі педиатрия» пәнін, «Педиатрия» мамандығының 5-курс студенттеріне «Балалар мен жасөспірімдерді стационарда емдеу» пәнін оқыту кезінде алынған ғылыми деректерді пайдалану арқылы енгізілген. Жұмыстың негізгі ережелері мен қорытындылары тақырыптық дәрістерге, практикалық сабақтарға және клиникалық талдауларға интеграцияланған (А, Б қосымшалары).</w:t>
      </w:r>
    </w:p>
    <w:p w14:paraId="3BAE61EE" w14:textId="29196A29" w:rsidR="00EF6FF4" w:rsidRPr="00EF6FF4" w:rsidRDefault="00EF6FF4" w:rsidP="00EF6FF4">
      <w:pPr>
        <w:ind w:firstLine="851"/>
        <w:jc w:val="both"/>
        <w:rPr>
          <w:rFonts w:ascii="Times New Roman" w:hAnsi="Times New Roman" w:cs="Times New Roman"/>
          <w:kern w:val="0"/>
          <w:sz w:val="28"/>
          <w:szCs w:val="28"/>
        </w:rPr>
      </w:pPr>
      <w:r w:rsidRPr="00EF6FF4">
        <w:rPr>
          <w:rFonts w:ascii="Times New Roman" w:hAnsi="Times New Roman" w:cs="Times New Roman"/>
          <w:b/>
          <w:bCs/>
          <w:kern w:val="0"/>
          <w:sz w:val="28"/>
          <w:szCs w:val="28"/>
        </w:rPr>
        <w:t xml:space="preserve">Автордың жеке үлесі. </w:t>
      </w:r>
      <w:r w:rsidRPr="00EF6FF4">
        <w:rPr>
          <w:rFonts w:ascii="Times New Roman" w:hAnsi="Times New Roman" w:cs="Times New Roman"/>
          <w:kern w:val="0"/>
          <w:sz w:val="28"/>
          <w:szCs w:val="28"/>
        </w:rPr>
        <w:t>Диссертант ғылыми әдебиеттерді іріктеуді және талдауды, зерттеу жоспарын әзірлеуді, мақсаттар мен міндеттерді тұжырымдауды, зерттеу дизайнын әзірлеуді, пациенттерді қосу және шығару критерийлерін анықтауды, сондай-ақ клиникалық материалды жинауды және медициналық құжаттаманы ресімдеуді өз бетінше орындады. Зерттеудің зертханалық бөлігі өмір туралы ғылымдар институты зертханасының ғылыми қызметкерлері Ахмалтинова Л.Л., Авдиенко О.В. бірлесе орындалды. Диссертант деректерді статистикалық өңдеуді, алынған нәтижелерді түсіндіруді, қорытындыларды тұжырымдауды және диссертациялық жұмыс мәтінін ресімдеуді жүзеге асырды.</w:t>
      </w:r>
    </w:p>
    <w:p w14:paraId="5448FA98" w14:textId="77777777" w:rsidR="00EF6FF4" w:rsidRDefault="00EF6FF4" w:rsidP="00EF6FF4">
      <w:pPr>
        <w:ind w:firstLine="851"/>
        <w:jc w:val="both"/>
        <w:rPr>
          <w:rFonts w:ascii="Times New Roman" w:hAnsi="Times New Roman" w:cs="Times New Roman"/>
          <w:kern w:val="0"/>
          <w:sz w:val="28"/>
          <w:szCs w:val="28"/>
        </w:rPr>
      </w:pPr>
      <w:r w:rsidRPr="00EF6FF4">
        <w:rPr>
          <w:rFonts w:ascii="Times New Roman" w:hAnsi="Times New Roman" w:cs="Times New Roman"/>
          <w:kern w:val="0"/>
          <w:sz w:val="28"/>
          <w:szCs w:val="28"/>
        </w:rPr>
        <w:t>Зерттеу 2022-2024 жылдардағы ЖТН АР14871767 «Мектепке дейінгі жастағы балалардағы өкпе артериялық гипертензиясын диагностикалау мен емдеу тиімділігін бағалаудың инновациялық молекулалық технологияларын әзірлеу» гранттық жобасы аясында жүргізілді, онда диссертант жұмыстың барлық кезеңдерінде жауапты орындаушы ретінде өнер көрсетті.</w:t>
      </w:r>
    </w:p>
    <w:p w14:paraId="690824D1" w14:textId="77777777" w:rsidR="00EF6FF4" w:rsidRPr="00EF6FF4" w:rsidRDefault="00EF6FF4" w:rsidP="00EF6FF4">
      <w:pPr>
        <w:ind w:firstLine="851"/>
        <w:jc w:val="both"/>
        <w:rPr>
          <w:rFonts w:ascii="Times New Roman" w:hAnsi="Times New Roman" w:cs="Times New Roman"/>
          <w:kern w:val="0"/>
          <w:sz w:val="28"/>
          <w:szCs w:val="28"/>
        </w:rPr>
      </w:pPr>
      <w:r w:rsidRPr="00EF6FF4">
        <w:rPr>
          <w:rFonts w:ascii="Times New Roman" w:hAnsi="Times New Roman" w:cs="Times New Roman"/>
          <w:b/>
          <w:bCs/>
          <w:kern w:val="0"/>
          <w:sz w:val="28"/>
          <w:szCs w:val="28"/>
        </w:rPr>
        <w:t>Жұмысты апробациялау.</w:t>
      </w:r>
      <w:r w:rsidRPr="003E12C0">
        <w:rPr>
          <w:rFonts w:ascii="Times New Roman" w:hAnsi="Times New Roman" w:cs="Times New Roman"/>
          <w:b/>
          <w:bCs/>
          <w:kern w:val="0"/>
          <w:sz w:val="28"/>
          <w:szCs w:val="28"/>
        </w:rPr>
        <w:t xml:space="preserve"> </w:t>
      </w:r>
      <w:bookmarkEnd w:id="0"/>
      <w:bookmarkEnd w:id="1"/>
      <w:r w:rsidRPr="00EF6FF4">
        <w:rPr>
          <w:rFonts w:ascii="Times New Roman" w:hAnsi="Times New Roman" w:cs="Times New Roman"/>
          <w:kern w:val="0"/>
          <w:sz w:val="28"/>
          <w:szCs w:val="28"/>
        </w:rPr>
        <w:t>Зерттеудің негізгі ережелері келесі ғылыми іс-шараларда баяндалып, талқыланды:</w:t>
      </w:r>
    </w:p>
    <w:p w14:paraId="78794229" w14:textId="77777777" w:rsidR="00EF6FF4" w:rsidRPr="00EF6FF4" w:rsidRDefault="00EF6FF4" w:rsidP="00EF6FF4">
      <w:pPr>
        <w:ind w:firstLine="851"/>
        <w:jc w:val="both"/>
        <w:rPr>
          <w:rFonts w:ascii="Times New Roman" w:hAnsi="Times New Roman" w:cs="Times New Roman"/>
          <w:kern w:val="0"/>
          <w:sz w:val="28"/>
          <w:szCs w:val="28"/>
        </w:rPr>
      </w:pPr>
      <w:r w:rsidRPr="00EF6FF4">
        <w:rPr>
          <w:rFonts w:ascii="Times New Roman" w:hAnsi="Times New Roman" w:cs="Times New Roman"/>
          <w:kern w:val="0"/>
          <w:sz w:val="28"/>
          <w:szCs w:val="28"/>
        </w:rPr>
        <w:t>34th European Pediatrics Conference (Цюрих, Швейцария, 2023 жылғы 9-10 қазан), онда диссертант «Study of Serotonin Metabolism in Children with Congenital Heart Defects» тақырыбында ауызша баяндама ұсынды; Еуропалық педиатриялық қоғамдар академиясының 10-шы Конгресі (EAPS 2024) (Вена, Австрия, 2024 жылғы 17-20 қазан), онда диссертант «Biomarkers for Diagnosing and Monitoring Pulmonary Hypertension in Children with Congenital Heart Defects» тақырыбында ауызша баяндамамен сөйледі; Студенттер мен жас ғалымдардың XX Халықаралық / XXIX Бүкілресейлік Пирогов ғылыми медициналық конференциясы (Мәскеу, 2025 жылғы наурыз), онда диссертант «Insulin-like growth factor-1 as an indicator of the effectiveness of surgical treatment of congenital heart disease complicated by pulmonary arterial hypertension» тақырыбында ауызша баяндама ұсынды.</w:t>
      </w:r>
    </w:p>
    <w:p w14:paraId="5EEC0FBC" w14:textId="77777777" w:rsidR="00EF6FF4" w:rsidRPr="00EF6FF4" w:rsidRDefault="00EF6FF4" w:rsidP="00EF6FF4">
      <w:pPr>
        <w:ind w:firstLine="851"/>
        <w:jc w:val="both"/>
        <w:rPr>
          <w:rFonts w:ascii="Times New Roman" w:hAnsi="Times New Roman" w:cs="Times New Roman"/>
          <w:kern w:val="0"/>
          <w:sz w:val="28"/>
          <w:szCs w:val="28"/>
        </w:rPr>
      </w:pPr>
    </w:p>
    <w:p w14:paraId="7FD8FE00" w14:textId="77777777" w:rsidR="00EF6FF4" w:rsidRDefault="00EF6FF4" w:rsidP="00EF6FF4">
      <w:pPr>
        <w:ind w:firstLine="851"/>
        <w:jc w:val="both"/>
        <w:rPr>
          <w:rFonts w:ascii="Times New Roman" w:hAnsi="Times New Roman" w:cs="Times New Roman"/>
          <w:kern w:val="0"/>
          <w:sz w:val="28"/>
          <w:szCs w:val="28"/>
        </w:rPr>
      </w:pPr>
      <w:r w:rsidRPr="00EF6FF4">
        <w:rPr>
          <w:rFonts w:ascii="Times New Roman" w:hAnsi="Times New Roman" w:cs="Times New Roman"/>
          <w:kern w:val="0"/>
          <w:sz w:val="28"/>
          <w:szCs w:val="28"/>
        </w:rPr>
        <w:t>Келесі тезистер жарияланды: X мерейтойлық «Өкпе гипертензиясы – 2022» Конгресінің ғылыми жұмыстар жинағында (Ресей, Мәскеу); XII Бүкілресейлік «Балалар кардиологиясы – 2022» Конгресінде (Ресей, Мәскеу, 2022 жылғы 8–10 желтоқсан); «Туа біткен жүрек ақауы бар баладағы өкпе артериялық гипертензиясының клиникалық жағдайы: диагностика мен емдеу қиындықтары» тақырыбындағы постерлік баяндама VI Орталық-Азиялық халықаралық ғылыми-практикалық «Болашақтың білімі: өзгеріс желі» конференциясында (Қарағанды, Қазақстан, 2023 жылғы 20–21 сәуір) ұсынылды; «Туа біткен жүрек ақаулары бар балаларда өкпе артериялық гипертензиясының дамуындағы тромбоцитарлық буын мен серотонин жүйесінің рөлі» тезисі Бүкілресейлік «Өкпе гипертензиясы – 2023» Конгресінің тезистер жинағында (Ресей, Мәскеу, 2023 жылғы 14–15 желтоқсан) жарияланды; «Эмбриональды онтогенез кезеңіндегі серотонин артықшылығының ерте постнатальды онтогенездегі серотониннің мембраналық тасымалдаушысының белсенділігіне әсері» тезисі И.П. Павлов атындағы Физиологиялық қоғамның XXIV съезінің материалдары бойынша (Санкт-Петербург, 2023 жылғы 11–15 қыркүйек) жарияланды; «Өкпе гипертензиясымен асқынған туа біткен жүрек ақаулары бар балаларда серотонин метаболизмі мен инсулинтәрізді өсу факторы-1 экспрессиясының ерекшеліктері» тезисі II Бүкілресейлік «Самойлов оқулары» конференциясы (Ресей, Қазан, 30.01.2026).</w:t>
      </w:r>
    </w:p>
    <w:p w14:paraId="41BB5AEF" w14:textId="77777777" w:rsidR="00F32D30" w:rsidRDefault="00EF6FF4" w:rsidP="00F32D30">
      <w:pPr>
        <w:ind w:firstLine="851"/>
        <w:jc w:val="both"/>
        <w:rPr>
          <w:rFonts w:ascii="Times New Roman" w:hAnsi="Times New Roman" w:cs="Times New Roman"/>
          <w:kern w:val="0"/>
          <w:sz w:val="28"/>
          <w:szCs w:val="28"/>
        </w:rPr>
      </w:pPr>
      <w:r w:rsidRPr="00EF6FF4">
        <w:rPr>
          <w:rFonts w:ascii="Times New Roman" w:hAnsi="Times New Roman" w:cs="Times New Roman"/>
          <w:b/>
          <w:bCs/>
          <w:kern w:val="0"/>
          <w:sz w:val="28"/>
          <w:szCs w:val="28"/>
        </w:rPr>
        <w:t xml:space="preserve">Диссертация тақырыбы бойынша жарияланымдар. </w:t>
      </w:r>
      <w:r w:rsidRPr="00EF6FF4">
        <w:rPr>
          <w:rFonts w:ascii="Times New Roman" w:hAnsi="Times New Roman" w:cs="Times New Roman"/>
          <w:kern w:val="0"/>
          <w:sz w:val="28"/>
          <w:szCs w:val="28"/>
        </w:rPr>
        <w:t>иссертация тақырыбы бойынша 6 ғылыми жұмыс жарияланған, оның ішінде: ҚР ҒЖБМ Ғылым және білім саласындағы сапаны қамтамасыз ету комитеті ұсынған Қазақстанның ғылыми басылымдарында 2 мақала, Scopus ақпараттық дерекқорына кіретін халықаралық ғылыми басылымдарда 3 мақала, 1 монография; авторлық құқықпен қорғалатын объектілерге құқықтардың мемлекеттік тізіліміне мәліметтерді енгізу туралы 2 куәлік.</w:t>
      </w:r>
      <w:bookmarkStart w:id="2" w:name="OLE_LINK3"/>
      <w:bookmarkStart w:id="3" w:name="OLE_LINK4"/>
    </w:p>
    <w:p w14:paraId="16AE5975" w14:textId="77777777" w:rsidR="00F32D30" w:rsidRDefault="00F32D30" w:rsidP="00F32D30">
      <w:pPr>
        <w:ind w:firstLine="851"/>
        <w:jc w:val="both"/>
        <w:rPr>
          <w:rFonts w:ascii="Times New Roman" w:hAnsi="Times New Roman" w:cs="Times New Roman"/>
          <w:b/>
          <w:bCs/>
          <w:sz w:val="28"/>
          <w:szCs w:val="28"/>
        </w:rPr>
      </w:pPr>
      <w:r w:rsidRPr="00F32D30">
        <w:rPr>
          <w:rFonts w:ascii="Times New Roman" w:hAnsi="Times New Roman" w:cs="Times New Roman"/>
          <w:b/>
          <w:bCs/>
          <w:sz w:val="28"/>
          <w:szCs w:val="28"/>
        </w:rPr>
        <w:t>Зерттеу дизайны, зерттеу материалдары мен әдістері:</w:t>
      </w:r>
    </w:p>
    <w:p w14:paraId="55F75E3C" w14:textId="77777777" w:rsidR="00F32D30" w:rsidRDefault="00F32D30" w:rsidP="00F32D30">
      <w:pPr>
        <w:ind w:firstLine="851"/>
        <w:jc w:val="both"/>
        <w:rPr>
          <w:rFonts w:ascii="Times New Roman" w:hAnsi="Times New Roman" w:cs="Times New Roman"/>
          <w:color w:val="0F1115"/>
          <w:sz w:val="28"/>
          <w:szCs w:val="28"/>
        </w:rPr>
      </w:pPr>
      <w:r w:rsidRPr="00F32D30">
        <w:rPr>
          <w:rFonts w:ascii="Times New Roman" w:hAnsi="Times New Roman" w:cs="Times New Roman"/>
          <w:color w:val="0F1115"/>
          <w:sz w:val="28"/>
          <w:szCs w:val="28"/>
        </w:rPr>
        <w:t>Зерттеу дизайны – проспективті бойлық салыстырмалы зерттеу (проспективті когорттық талдау). Осы модельдің таңдалуы биомаркерлер концентрациясының биологиялық орталардағы (плазма, тромбоциттер, зәр) динамикалық өзгерістерін ТБЖА оперативті коррекциясына дейін және одан кейін бір когорта пациенттерінде бағалау мақсатымен анықталды. Деректерді жинаудың проспективті сипаты процесс үстіндегі бақылаудың жоғары деңгейін қамтамасыз етті және ретроспективті бұрмалану қаупін барынша азайтты.</w:t>
      </w:r>
    </w:p>
    <w:p w14:paraId="5E7B2F89" w14:textId="77777777" w:rsidR="00F32D30" w:rsidRDefault="00F32D30" w:rsidP="00F32D30">
      <w:pPr>
        <w:ind w:firstLine="851"/>
        <w:jc w:val="both"/>
        <w:rPr>
          <w:rFonts w:ascii="Times New Roman" w:hAnsi="Times New Roman" w:cs="Times New Roman"/>
          <w:color w:val="0F1115"/>
          <w:sz w:val="28"/>
          <w:szCs w:val="28"/>
        </w:rPr>
      </w:pPr>
      <w:r w:rsidRPr="00F32D30">
        <w:rPr>
          <w:rFonts w:ascii="Times New Roman" w:hAnsi="Times New Roman" w:cs="Times New Roman"/>
          <w:color w:val="0F1115"/>
          <w:sz w:val="28"/>
          <w:szCs w:val="28"/>
        </w:rPr>
        <w:t xml:space="preserve">Зерттеу хаттамасы Қарағанды медициналық университетінің жергілікті этикалық комитетімен қаралып, мақұлданды (2022 жылғы 29 наурыздағы №37 </w:t>
      </w:r>
      <w:r w:rsidRPr="00F32D30">
        <w:rPr>
          <w:rFonts w:ascii="Times New Roman" w:hAnsi="Times New Roman" w:cs="Times New Roman"/>
          <w:color w:val="0F1115"/>
          <w:sz w:val="28"/>
          <w:szCs w:val="28"/>
        </w:rPr>
        <w:lastRenderedPageBreak/>
        <w:t>хаттама). Барлық кәмелетке толмаған қатысушылардың мүдделері мен құқықтары олардың ата-аналарынан немесе заңды өкілдерінен жазбаша ақпараттандырылған келісім алу арқылы қорғалды.</w:t>
      </w:r>
    </w:p>
    <w:p w14:paraId="6E8AC638" w14:textId="4AEFC12F" w:rsidR="00F32D30" w:rsidRPr="00F32D30" w:rsidRDefault="00F32D30" w:rsidP="00F32D30">
      <w:pPr>
        <w:ind w:firstLine="851"/>
        <w:jc w:val="both"/>
        <w:rPr>
          <w:rFonts w:ascii="Times New Roman" w:hAnsi="Times New Roman" w:cs="Times New Roman"/>
          <w:color w:val="0F1115"/>
          <w:sz w:val="28"/>
          <w:szCs w:val="28"/>
        </w:rPr>
      </w:pPr>
      <w:r w:rsidRPr="00F32D30">
        <w:rPr>
          <w:rFonts w:ascii="Times New Roman" w:hAnsi="Times New Roman" w:cs="Times New Roman"/>
          <w:color w:val="0F1115"/>
          <w:sz w:val="28"/>
          <w:szCs w:val="28"/>
        </w:rPr>
        <w:t>Іріктемені қалыптастыру 2022 жылғы маусымнан 2024 жылғы желтоқсанға дейінгі кезеңде өтті. Балалар үш топқа бөлінді:</w:t>
      </w:r>
    </w:p>
    <w:p w14:paraId="5CE352FF" w14:textId="77777777" w:rsidR="00F32D30" w:rsidRPr="00F32D30" w:rsidRDefault="00F32D30" w:rsidP="00F32D30">
      <w:pPr>
        <w:pStyle w:val="ds-markdown-paragraph"/>
        <w:numPr>
          <w:ilvl w:val="0"/>
          <w:numId w:val="20"/>
        </w:numPr>
        <w:spacing w:before="0" w:beforeAutospacing="0" w:after="0" w:afterAutospacing="0"/>
        <w:jc w:val="both"/>
        <w:rPr>
          <w:color w:val="0F1115"/>
          <w:sz w:val="28"/>
          <w:szCs w:val="28"/>
        </w:rPr>
      </w:pPr>
      <w:r w:rsidRPr="00F32D30">
        <w:rPr>
          <w:color w:val="0F1115"/>
          <w:sz w:val="28"/>
          <w:szCs w:val="28"/>
        </w:rPr>
        <w:t>I топ (n=46) – ӨАГ-мен асқынған ТБЖА диагнозы расталған балалардан «Қарағанды қаласының №2 көпбейінді ауруханасы» ШЖҚ КМК кардиохирургия бөлімшесінің базасында құрылды. Бұл топтағы барлық пациенттер жоспарлы оперативті араласу алдында базалық тексеруден өтті (T1 нүктесі).</w:t>
      </w:r>
    </w:p>
    <w:p w14:paraId="17F3D5D5" w14:textId="77777777" w:rsidR="00F32D30" w:rsidRPr="00F32D30" w:rsidRDefault="00F32D30" w:rsidP="00F32D30">
      <w:pPr>
        <w:pStyle w:val="ds-markdown-paragraph"/>
        <w:numPr>
          <w:ilvl w:val="0"/>
          <w:numId w:val="20"/>
        </w:numPr>
        <w:spacing w:before="0" w:beforeAutospacing="0" w:after="0" w:afterAutospacing="0"/>
        <w:jc w:val="both"/>
        <w:rPr>
          <w:color w:val="0F1115"/>
          <w:sz w:val="28"/>
          <w:szCs w:val="28"/>
        </w:rPr>
      </w:pPr>
      <w:r w:rsidRPr="00F32D30">
        <w:rPr>
          <w:color w:val="0F1115"/>
          <w:sz w:val="28"/>
          <w:szCs w:val="28"/>
        </w:rPr>
        <w:t>II топ (n=32) – бастапқы когортадан құрылды және бойлық бақылауды аяқтап, жоспарлы операциядан кейінгі кезеңде қайта тексерілген балаларды қамтыды (T2 нүктесі). 14 пациенттің шығып қалуы кейінгі бақылаудың ұйымдастырушылық және логистикалық себептеріне байланысты болды.</w:t>
      </w:r>
    </w:p>
    <w:p w14:paraId="005F1404" w14:textId="77777777" w:rsidR="00F32D30" w:rsidRPr="00F32D30" w:rsidRDefault="00F32D30" w:rsidP="00F32D30">
      <w:pPr>
        <w:pStyle w:val="ds-markdown-paragraph"/>
        <w:numPr>
          <w:ilvl w:val="0"/>
          <w:numId w:val="20"/>
        </w:numPr>
        <w:spacing w:before="0" w:beforeAutospacing="0" w:after="0" w:afterAutospacing="0"/>
        <w:jc w:val="both"/>
        <w:rPr>
          <w:color w:val="0F1115"/>
          <w:sz w:val="28"/>
          <w:szCs w:val="28"/>
        </w:rPr>
      </w:pPr>
      <w:r w:rsidRPr="00F32D30">
        <w:rPr>
          <w:color w:val="0F1115"/>
          <w:sz w:val="28"/>
          <w:szCs w:val="28"/>
        </w:rPr>
        <w:t>III топ (n=24) – салыстыру тобы (бақылау). Зерттелетін биомаркерлердің референстік мәндерін анықтау және салыстырмалы талдау жүргізу үшін жасы мен жынысы бойынша салыстырмалы шартты сау балалар тобы жиналды. Бақылау тобы бір рет тексерілді.</w:t>
      </w:r>
    </w:p>
    <w:p w14:paraId="533C4477" w14:textId="77777777" w:rsidR="00F32D30" w:rsidRDefault="00F32D30" w:rsidP="00F32D30">
      <w:pPr>
        <w:ind w:firstLine="851"/>
        <w:jc w:val="both"/>
        <w:rPr>
          <w:rFonts w:ascii="Times New Roman" w:hAnsi="Times New Roman" w:cs="Times New Roman"/>
          <w:color w:val="0F1115"/>
          <w:sz w:val="28"/>
          <w:szCs w:val="28"/>
        </w:rPr>
      </w:pPr>
      <w:r w:rsidRPr="00F32D30">
        <w:rPr>
          <w:rFonts w:ascii="Times New Roman" w:hAnsi="Times New Roman" w:cs="Times New Roman"/>
          <w:color w:val="0F1115"/>
          <w:sz w:val="28"/>
          <w:szCs w:val="28"/>
        </w:rPr>
        <w:t>Статистикалық талдау IBM SPSS Statistics бағдарламалық пакетінің (26.0 нұсқасы) көмегімен жүргізілді. Көрсеткіштердің көпшілігінің таралуы қалыптыдан өзгеше болғандықтан, деректер медиана (Ме) және квартильаралық ауқым [25-ші; 75-ші процентильдер] түрінде ұсынылған. Статистикалық маңызды айырмашылықтар анықталған кезде (p &lt;0,05) тәуелсіз топтарды жұптық салыстыру үшін Манн–Уитни U-критерийі қолданылды, ал байланысты іріктемелер арасындағы айырмашылықтарды бағалау үшін Уилкоксонның парлық тесті пайдаланылды.</w:t>
      </w:r>
    </w:p>
    <w:p w14:paraId="4792E290" w14:textId="77777777" w:rsidR="00F32D30" w:rsidRDefault="00F32D30" w:rsidP="00F32D30">
      <w:pPr>
        <w:ind w:firstLine="851"/>
        <w:jc w:val="both"/>
        <w:rPr>
          <w:rFonts w:ascii="Times New Roman" w:hAnsi="Times New Roman" w:cs="Times New Roman"/>
          <w:color w:val="0F1115"/>
          <w:sz w:val="28"/>
          <w:szCs w:val="28"/>
        </w:rPr>
      </w:pPr>
      <w:r w:rsidRPr="00F32D30">
        <w:rPr>
          <w:rFonts w:ascii="Times New Roman" w:hAnsi="Times New Roman" w:cs="Times New Roman"/>
          <w:color w:val="0F1115"/>
          <w:sz w:val="28"/>
          <w:szCs w:val="28"/>
        </w:rPr>
        <w:t>Параметрлер арасындағы өзара байланысты бағалау үшін Спирменнің рангтық корреляция коэффициенті қолданылды. Зерттелетін биомаркерлердің диагностикалық тиімділігі операциялық сипаттамалар талдауы (ROC-талдау) арқылы қисық астындағы ауданды (AUC), оңтайлы үзу нүктесін, сезімталдық пен спецификалықты есептей отырып бағаланды. Талдаудың барлық түрлерінде p &lt;0,05 кезіндегі айырмашылықтар статистикалық маңызды деп саналды.</w:t>
      </w:r>
    </w:p>
    <w:p w14:paraId="2D6BE3FC" w14:textId="77777777" w:rsidR="00F32D30" w:rsidRDefault="00F32D30" w:rsidP="00F32D30">
      <w:pPr>
        <w:ind w:firstLine="851"/>
        <w:jc w:val="both"/>
      </w:pPr>
      <w:proofErr w:type="spellStart"/>
      <w:r w:rsidRPr="00F32D30">
        <w:rPr>
          <w:rFonts w:ascii="Times New Roman" w:hAnsi="Times New Roman" w:cs="Times New Roman"/>
          <w:b/>
          <w:bCs/>
          <w:sz w:val="28"/>
          <w:szCs w:val="28"/>
          <w:lang w:val="ru-RU"/>
        </w:rPr>
        <w:t>Қорытындылар</w:t>
      </w:r>
      <w:proofErr w:type="spellEnd"/>
      <w:r w:rsidRPr="00F32D30">
        <w:rPr>
          <w:rFonts w:ascii="Times New Roman" w:hAnsi="Times New Roman" w:cs="Times New Roman"/>
          <w:b/>
          <w:bCs/>
          <w:sz w:val="28"/>
          <w:szCs w:val="28"/>
          <w:lang w:val="ru-RU"/>
        </w:rPr>
        <w:t>:</w:t>
      </w:r>
      <w:r w:rsidRPr="00F32D30">
        <w:t xml:space="preserve"> </w:t>
      </w:r>
    </w:p>
    <w:p w14:paraId="415A4F16" w14:textId="3A24B621" w:rsidR="00F32D30" w:rsidRPr="00F32D30" w:rsidRDefault="00F32D30" w:rsidP="00F32D30">
      <w:pPr>
        <w:pStyle w:val="ListParagraph"/>
        <w:numPr>
          <w:ilvl w:val="0"/>
          <w:numId w:val="21"/>
        </w:numPr>
        <w:jc w:val="both"/>
        <w:rPr>
          <w:rFonts w:ascii="Times New Roman" w:hAnsi="Times New Roman" w:cs="Times New Roman"/>
          <w:sz w:val="28"/>
          <w:szCs w:val="28"/>
        </w:rPr>
      </w:pPr>
      <w:r w:rsidRPr="00F32D30">
        <w:rPr>
          <w:rFonts w:ascii="Times New Roman" w:hAnsi="Times New Roman" w:cs="Times New Roman"/>
          <w:sz w:val="28"/>
          <w:szCs w:val="28"/>
        </w:rPr>
        <w:t xml:space="preserve">Серотонинергиялық жүйе параметрлерінің өзгерістері анықталды, олар мембраналық тасымалдың салыстырмалы сақталуы кезінде серотониннің компартменттік таралуының бұзылуымен көрінеді. ӨАГ-мен асқынған ТБЖА бар пациенттерде қан плазмасындағы серотонин концентрациясы бақылау тобымен салыстырғанда жоғары мәндермен сипатталды (Me 32,27 </w:t>
      </w:r>
      <w:r w:rsidRPr="00F32D30">
        <w:rPr>
          <w:rFonts w:ascii="Times New Roman" w:hAnsi="Times New Roman" w:cs="Times New Roman"/>
          <w:sz w:val="28"/>
          <w:szCs w:val="28"/>
        </w:rPr>
        <w:lastRenderedPageBreak/>
        <w:t>және 31,00 нг/мл қарсы 10,10 нг/мл), операцияға дейінгі және операциядан кейінгі кезеңдер арасында маңызды айырмашылықтар болмаған кезде. Сонымен қатар, сау балалармен салыстырғанда тромбоциттердегі серотонин концентрациясының статистикалық маңызды төмендеуі анықталды (p=0,049), ал тромбоциттер пулындағы SERT концентрациясы топтар арасында елеулі түрде айырмашылық танытпады (p&gt;0,05). Алынған деректер айналатын серотонин мен оның ішіжасушалық депонирленуі арасындағы диссоциацияны көрсетеді.</w:t>
      </w:r>
    </w:p>
    <w:p w14:paraId="4098C533" w14:textId="77777777" w:rsidR="00F32D30" w:rsidRPr="00F32D30" w:rsidRDefault="00F32D30" w:rsidP="00F32D30">
      <w:pPr>
        <w:pStyle w:val="ListParagraph"/>
        <w:numPr>
          <w:ilvl w:val="0"/>
          <w:numId w:val="21"/>
        </w:numPr>
        <w:jc w:val="both"/>
        <w:rPr>
          <w:rFonts w:ascii="Times New Roman" w:hAnsi="Times New Roman" w:cs="Times New Roman"/>
          <w:sz w:val="28"/>
          <w:szCs w:val="28"/>
        </w:rPr>
      </w:pPr>
      <w:r w:rsidRPr="00F32D30">
        <w:rPr>
          <w:rFonts w:ascii="Times New Roman" w:hAnsi="Times New Roman" w:cs="Times New Roman"/>
          <w:sz w:val="28"/>
          <w:szCs w:val="28"/>
        </w:rPr>
        <w:t>ТБЖА және ӨАГ бар пациенттерде қан плазмасындағы 5-ГИСҚ концентрациясы бақылау тобымен салыстырғанда төменірек болғаны анықталды (Me 8,20 және 8,81 нг/мл қарсы 11,33 нг/мл; p=0,02). Бұл ретте, операцияға дейінгі ТБЖА және ӨАГ бар балаларда зәрдегі 5-ГИСҚ деңгейі бақылау тобымен салыстырғанда айтарлықтай жоғары болды (Me 6,55 қарсы 1,00 нг/ммоль креатинин; p=0,026) және хирургиялық коррекциядан кейін төмендеуімен сипатталды. Тромбоциттердегі 5-ГИСҚ концентрациясы топтар арасында статистикалық маңызды түрде айырмашылық танытпады, бұл метаболиттің іштромбоцитарлық депосының салыстырмалы тұрақтылығы кезінде серотониннің катаболизм және шығарылу процестерінің басым түрде тартылғанын көрсетеді.</w:t>
      </w:r>
    </w:p>
    <w:p w14:paraId="3FD216EF" w14:textId="77777777" w:rsidR="00F32D30" w:rsidRPr="00F32D30" w:rsidRDefault="00F32D30" w:rsidP="00F32D30">
      <w:pPr>
        <w:pStyle w:val="ListParagraph"/>
        <w:numPr>
          <w:ilvl w:val="0"/>
          <w:numId w:val="21"/>
        </w:numPr>
        <w:jc w:val="both"/>
        <w:rPr>
          <w:rFonts w:ascii="Times New Roman" w:hAnsi="Times New Roman" w:cs="Times New Roman"/>
          <w:sz w:val="28"/>
          <w:szCs w:val="28"/>
        </w:rPr>
      </w:pPr>
      <w:r w:rsidRPr="00F32D30">
        <w:rPr>
          <w:rFonts w:ascii="Times New Roman" w:hAnsi="Times New Roman" w:cs="Times New Roman"/>
          <w:sz w:val="28"/>
          <w:szCs w:val="28"/>
        </w:rPr>
        <w:t>ӨАГ-мен асқынған ТБЖА бар пациенттерде бақылау тобымен салыстырғанда қан плазмасындағы ИТӨФ-1 деңгейінің статистикалық маңызды төмендеуі анықталды. ИТӨФ-1 концентрациясының медианасы операцияға дейін 8,90 нг/мл және операциядан кейін 11,42 нг/мл құрады, ал шартты сау балаларда 17,01 нг/мл болды (p=0,000074). Тромбоциттердегі ИТӨФ-1 концентрациясы топтар арасында елеулі түрде айырмашылық танытпады (p&gt;0,05), оперативті коррекцияға дейін жоғары мәндерге тенденция болғанына қарамастан, бұл өсу факторының айналатын пулының өкпе артериялық гипертензиясының патогенетикалық механизмдеріне басым түрде тартылғанын көрсетеді.</w:t>
      </w:r>
    </w:p>
    <w:p w14:paraId="79C6ADC1" w14:textId="77777777" w:rsidR="00F32D30" w:rsidRPr="00F32D30" w:rsidRDefault="00F32D30" w:rsidP="00F32D30">
      <w:pPr>
        <w:pStyle w:val="ListParagraph"/>
        <w:numPr>
          <w:ilvl w:val="0"/>
          <w:numId w:val="21"/>
        </w:numPr>
        <w:jc w:val="both"/>
        <w:rPr>
          <w:rFonts w:ascii="Times New Roman" w:hAnsi="Times New Roman" w:cs="Times New Roman"/>
          <w:sz w:val="28"/>
          <w:szCs w:val="28"/>
        </w:rPr>
      </w:pPr>
      <w:r w:rsidRPr="00F32D30">
        <w:rPr>
          <w:rFonts w:ascii="Times New Roman" w:hAnsi="Times New Roman" w:cs="Times New Roman"/>
          <w:sz w:val="28"/>
          <w:szCs w:val="28"/>
        </w:rPr>
        <w:t>ӨАГ кезіндегі метаболизм бұзылыстарын бағалаудағы диагностикалық құндылықты интегралды индекстер растады: 5-ГИСҚ тромбоциттер/плазма, SERT/серотонин және, әсіресе, ИТӨФ-1 плазма/тромбоциттер (AUC=0,929; сезімталдық 95%, спецификалық 86%), олар зерттелетін биомаркерлердің компартментаралық қайта бөлінуін көрсетеді.</w:t>
      </w:r>
    </w:p>
    <w:p w14:paraId="5604CAA2" w14:textId="77777777" w:rsidR="00F32D30" w:rsidRPr="00F32D30" w:rsidRDefault="00F32D30" w:rsidP="00F32D30">
      <w:pPr>
        <w:pStyle w:val="ListParagraph"/>
        <w:numPr>
          <w:ilvl w:val="0"/>
          <w:numId w:val="21"/>
        </w:numPr>
        <w:jc w:val="both"/>
        <w:rPr>
          <w:rFonts w:ascii="Times New Roman" w:hAnsi="Times New Roman" w:cs="Times New Roman"/>
          <w:sz w:val="28"/>
          <w:szCs w:val="28"/>
        </w:rPr>
      </w:pPr>
      <w:r w:rsidRPr="00F32D30">
        <w:rPr>
          <w:rFonts w:ascii="Times New Roman" w:hAnsi="Times New Roman" w:cs="Times New Roman"/>
          <w:sz w:val="28"/>
          <w:szCs w:val="28"/>
        </w:rPr>
        <w:t xml:space="preserve">Серотонинергиялық жүйе биомаркерлері, интегралды индекстер және гемодинамикалық көрсеткіштер арасында анықталған корреляциялық өзара байланыстар олардың ӨАГ кезіндегі патофизиологиялық маңыздылығын көрсетеді. Атап айтқанда, қан плазмасындағы ИТӨФ-1 деңгейі және ИТӨФ-1 плазма/тромбоциттер индексі өкпе артериясындағы есептік </w:t>
      </w:r>
      <w:r w:rsidRPr="00F32D30">
        <w:rPr>
          <w:rFonts w:ascii="Times New Roman" w:hAnsi="Times New Roman" w:cs="Times New Roman"/>
          <w:sz w:val="28"/>
          <w:szCs w:val="28"/>
        </w:rPr>
        <w:lastRenderedPageBreak/>
        <w:t>систолалық қысыммен кері корреляция көрсетті (тиісінше r=-0,44 және r=-0,65; p&lt;0,05), бұл ИТӨФ-1 тапшылығы мен қайта бөлінуінің өкпе гипертензиясының артуымен байланысын көрсетеді. Серотонин метаболизмінің көрсеткіштері гемодинамикалық параметрлермен әртүрлі бағыттағы корреляциялармен сипатталды: қан плазмасындағы 5-ГИСҚ концентрациясы өкпе артериясындағы есептік систолалық қысыммен кері корреляцияланды (r=-0,42; p&lt;0,05), ал зәрдегі 5-ГИСҚ деңгейі және 5-ГИСҚ плазма/зәр және 5-ГИСҚ тромбоциттер/плазма интегралды индекстері осы көрсеткішпен тура корреляцияға ие болды (тиісінше r=0,49; r=0,52 және r=0,49; p&lt;0,05), бұл ӨАГ прогрессиясы кезінде серотониннің катаболизмінің күшеюін және биологиялық орталар арасындағы теңгерімнің бұзылуын көрсетеді.</w:t>
      </w:r>
    </w:p>
    <w:p w14:paraId="52C4E27E" w14:textId="10DE9CEB" w:rsidR="000325ED" w:rsidRPr="00F32D30" w:rsidRDefault="00F32D30" w:rsidP="00F32D30">
      <w:pPr>
        <w:pStyle w:val="ListParagraph"/>
        <w:numPr>
          <w:ilvl w:val="0"/>
          <w:numId w:val="21"/>
        </w:numPr>
        <w:jc w:val="both"/>
        <w:rPr>
          <w:rFonts w:ascii="Times New Roman" w:hAnsi="Times New Roman" w:cs="Times New Roman"/>
          <w:color w:val="000000"/>
          <w:sz w:val="28"/>
          <w:szCs w:val="28"/>
        </w:rPr>
      </w:pPr>
      <w:r w:rsidRPr="00F32D30">
        <w:rPr>
          <w:rFonts w:ascii="Times New Roman" w:hAnsi="Times New Roman" w:cs="Times New Roman"/>
          <w:sz w:val="28"/>
          <w:szCs w:val="28"/>
        </w:rPr>
        <w:t>ROC-талдау деректері бойынша туа біткен жүрек ақаулары бар балаларда өкпе артериялық гипертензиясын анықтауда зәрдегі 5-ГИСҚ деңгейі (AUC=0,871), қан плазмасындағы ИТӨФ-1 концентрациясы (AUC=0,781) және ИТӨФ-1 плазма/тромбоциттер индексі (AUC=0,929) ең жоғары диагностикалық дәлдікпен сипатталды, бұл осы көрсеткіштердің жоғары сезімталдығы мен спецификалығын және тамырлық қайта құрылымдау дәрежесімен байланысын куәландырады.</w:t>
      </w:r>
      <w:r w:rsidR="000325ED" w:rsidRPr="00F32D30">
        <w:rPr>
          <w:rFonts w:ascii="Times New Roman" w:hAnsi="Times New Roman" w:cs="Times New Roman"/>
          <w:color w:val="000000"/>
          <w:sz w:val="28"/>
          <w:szCs w:val="28"/>
        </w:rPr>
        <w:t xml:space="preserve"> </w:t>
      </w:r>
    </w:p>
    <w:bookmarkEnd w:id="2"/>
    <w:bookmarkEnd w:id="3"/>
    <w:p w14:paraId="524049CA" w14:textId="743C7C50" w:rsidR="008E5601" w:rsidRPr="006E27CF" w:rsidRDefault="00F32D30" w:rsidP="00F32D30">
      <w:pPr>
        <w:ind w:firstLine="851"/>
        <w:jc w:val="both"/>
        <w:rPr>
          <w:rStyle w:val="y2iqfc"/>
          <w:rFonts w:ascii="Times New Roman" w:hAnsi="Times New Roman" w:cs="Times New Roman"/>
          <w:sz w:val="28"/>
          <w:szCs w:val="28"/>
        </w:rPr>
      </w:pPr>
      <w:r w:rsidRPr="002D5733">
        <w:rPr>
          <w:rFonts w:ascii="Times New Roman" w:hAnsi="Times New Roman" w:cs="Times New Roman"/>
          <w:b/>
          <w:bCs/>
          <w:kern w:val="0"/>
          <w:sz w:val="28"/>
          <w:szCs w:val="28"/>
        </w:rPr>
        <w:t>Диссертацияның көлемі мен құрылымы.</w:t>
      </w:r>
      <w:r w:rsidRPr="002D5733">
        <w:t xml:space="preserve"> </w:t>
      </w:r>
      <w:r w:rsidRPr="002D5733">
        <w:rPr>
          <w:rFonts w:ascii="Times New Roman" w:hAnsi="Times New Roman" w:cs="Times New Roman"/>
          <w:kern w:val="0"/>
          <w:sz w:val="28"/>
          <w:szCs w:val="28"/>
        </w:rPr>
        <w:t>Диссертация машинкада басылған мәтіннің 10</w:t>
      </w:r>
      <w:r w:rsidR="002D5733" w:rsidRPr="002D5733">
        <w:rPr>
          <w:rFonts w:ascii="Times New Roman" w:hAnsi="Times New Roman" w:cs="Times New Roman"/>
          <w:kern w:val="0"/>
          <w:sz w:val="28"/>
          <w:szCs w:val="28"/>
        </w:rPr>
        <w:t>5</w:t>
      </w:r>
      <w:r w:rsidRPr="002D5733">
        <w:rPr>
          <w:rFonts w:ascii="Times New Roman" w:hAnsi="Times New Roman" w:cs="Times New Roman"/>
          <w:kern w:val="0"/>
          <w:sz w:val="28"/>
          <w:szCs w:val="28"/>
        </w:rPr>
        <w:t xml:space="preserve"> бетін қамтиды, кіріспеден, әдебиеттерге шолудан, негізгі бөлімнен (зерттеудің материалдары мен әдістері, өзіндік зерттеулердің нәтижелері), қорытындылары бар түйіннен, 28 кестеден, 1</w:t>
      </w:r>
      <w:r w:rsidR="002D5733" w:rsidRPr="002D5733">
        <w:rPr>
          <w:rFonts w:ascii="Times New Roman" w:hAnsi="Times New Roman" w:cs="Times New Roman"/>
          <w:kern w:val="0"/>
          <w:sz w:val="28"/>
          <w:szCs w:val="28"/>
        </w:rPr>
        <w:t xml:space="preserve">2 </w:t>
      </w:r>
      <w:r w:rsidRPr="002D5733">
        <w:rPr>
          <w:rFonts w:ascii="Times New Roman" w:hAnsi="Times New Roman" w:cs="Times New Roman"/>
          <w:kern w:val="0"/>
          <w:sz w:val="28"/>
          <w:szCs w:val="28"/>
        </w:rPr>
        <w:t>суреттен, 1</w:t>
      </w:r>
      <w:r w:rsidR="002D5733" w:rsidRPr="002D5733">
        <w:rPr>
          <w:rFonts w:ascii="Times New Roman" w:hAnsi="Times New Roman" w:cs="Times New Roman"/>
          <w:kern w:val="0"/>
          <w:sz w:val="28"/>
          <w:szCs w:val="28"/>
        </w:rPr>
        <w:t>13</w:t>
      </w:r>
      <w:r w:rsidRPr="002D5733">
        <w:rPr>
          <w:rFonts w:ascii="Times New Roman" w:hAnsi="Times New Roman" w:cs="Times New Roman"/>
          <w:kern w:val="0"/>
          <w:sz w:val="28"/>
          <w:szCs w:val="28"/>
        </w:rPr>
        <w:t xml:space="preserve"> дереккөзді қамтитын әдебиеттер тізімінен тұрады.</w:t>
      </w:r>
    </w:p>
    <w:p w14:paraId="27EF549F"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11BC22B"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42D9C52"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28052B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545CA6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C44E248"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5C45979" w14:textId="77777777" w:rsidR="00EB78EF" w:rsidRDefault="00EB78EF" w:rsidP="008E5601">
      <w:pPr>
        <w:pStyle w:val="ListParagraph"/>
        <w:ind w:left="0"/>
        <w:jc w:val="both"/>
        <w:rPr>
          <w:rStyle w:val="y2iqfc"/>
          <w:rFonts w:ascii="Times New Roman" w:hAnsi="Times New Roman" w:cs="Times New Roman"/>
          <w:b/>
          <w:bCs/>
          <w:sz w:val="28"/>
          <w:szCs w:val="28"/>
        </w:rPr>
      </w:pPr>
    </w:p>
    <w:p w14:paraId="6CC7F641" w14:textId="77777777" w:rsidR="00EB78EF" w:rsidRDefault="00EB78EF" w:rsidP="008E5601">
      <w:pPr>
        <w:pStyle w:val="ListParagraph"/>
        <w:ind w:left="0"/>
        <w:jc w:val="both"/>
        <w:rPr>
          <w:rStyle w:val="y2iqfc"/>
          <w:rFonts w:ascii="Times New Roman" w:hAnsi="Times New Roman" w:cs="Times New Roman"/>
          <w:b/>
          <w:bCs/>
          <w:sz w:val="28"/>
          <w:szCs w:val="28"/>
        </w:rPr>
      </w:pPr>
    </w:p>
    <w:p w14:paraId="6186277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110DA5D9" w14:textId="77777777" w:rsidR="00EB78EF" w:rsidRDefault="00EB78EF" w:rsidP="008E5601">
      <w:pPr>
        <w:pStyle w:val="ListParagraph"/>
        <w:ind w:left="0"/>
        <w:jc w:val="both"/>
        <w:rPr>
          <w:rStyle w:val="y2iqfc"/>
          <w:rFonts w:ascii="Times New Roman" w:hAnsi="Times New Roman" w:cs="Times New Roman"/>
          <w:b/>
          <w:bCs/>
          <w:sz w:val="28"/>
          <w:szCs w:val="28"/>
        </w:rPr>
      </w:pPr>
    </w:p>
    <w:p w14:paraId="42ED46E8"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D986C47"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DA3488A"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8A921F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C100F42"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C220758" w14:textId="77777777" w:rsidR="00F32D30" w:rsidRDefault="00F32D30" w:rsidP="008E5601">
      <w:pPr>
        <w:pStyle w:val="ListParagraph"/>
        <w:ind w:left="0"/>
        <w:jc w:val="both"/>
        <w:rPr>
          <w:rStyle w:val="y2iqfc"/>
          <w:rFonts w:ascii="Times New Roman" w:hAnsi="Times New Roman" w:cs="Times New Roman"/>
          <w:b/>
          <w:bCs/>
          <w:sz w:val="28"/>
          <w:szCs w:val="28"/>
        </w:rPr>
      </w:pPr>
    </w:p>
    <w:p w14:paraId="08038AD8" w14:textId="4D378D30" w:rsidR="00CB3470" w:rsidRPr="006E27CF" w:rsidRDefault="00F32D30" w:rsidP="00A01F7D">
      <w:pPr>
        <w:ind w:firstLine="709"/>
        <w:jc w:val="both"/>
        <w:rPr>
          <w:rFonts w:ascii="Times New Roman" w:hAnsi="Times New Roman" w:cs="Times New Roman"/>
          <w:b/>
          <w:bCs/>
          <w:sz w:val="28"/>
          <w:szCs w:val="28"/>
          <w:lang w:val="ru-RU"/>
        </w:rPr>
      </w:pPr>
      <w:r w:rsidRPr="00F32D30">
        <w:rPr>
          <w:rStyle w:val="y2iqfc"/>
          <w:rFonts w:ascii="Times New Roman" w:hAnsi="Times New Roman" w:cs="Times New Roman"/>
          <w:b/>
          <w:bCs/>
          <w:sz w:val="28"/>
          <w:szCs w:val="28"/>
        </w:rPr>
        <w:lastRenderedPageBreak/>
        <w:t>ӘДЕБИЕТТЕР ТІЗІМІ:</w:t>
      </w:r>
    </w:p>
    <w:p w14:paraId="244EECE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2A612A">
        <w:rPr>
          <w:rFonts w:ascii="Times New Roman" w:hAnsi="Times New Roman" w:cs="Times New Roman"/>
          <w:sz w:val="28"/>
          <w:szCs w:val="28"/>
          <w:lang w:val="en-US"/>
        </w:rPr>
        <w:t>Humbert M. et al. 2022 ESC/ERS Guidelines for the diagnosis and treatment of pulmonary hypertension // European Heart Journal. - 2022. - Vol. 43(38). - P. 3618-3731.</w:t>
      </w:r>
    </w:p>
    <w:p w14:paraId="02E378D8"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proofErr w:type="spellStart"/>
      <w:r w:rsidRPr="009D74B1">
        <w:rPr>
          <w:rFonts w:ascii="Times New Roman" w:hAnsi="Times New Roman" w:cs="Times New Roman"/>
          <w:sz w:val="28"/>
          <w:szCs w:val="28"/>
          <w:lang w:val="en-US"/>
        </w:rPr>
        <w:t>Abman</w:t>
      </w:r>
      <w:proofErr w:type="spellEnd"/>
      <w:r w:rsidRPr="009D74B1">
        <w:rPr>
          <w:rFonts w:ascii="Times New Roman" w:hAnsi="Times New Roman" w:cs="Times New Roman"/>
          <w:sz w:val="28"/>
          <w:szCs w:val="28"/>
          <w:lang w:val="en-US"/>
        </w:rPr>
        <w:t xml:space="preserve"> S.H. et al. Pediatric pulmonary hypertension: guidelines from the American Heart Association and American Thoracic Society // Circulation. - 2015. - Vol. 132. - P. 2037-2099.</w:t>
      </w:r>
    </w:p>
    <w:p w14:paraId="6B9FB3E8"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proofErr w:type="spellStart"/>
      <w:r w:rsidRPr="009D74B1">
        <w:rPr>
          <w:rFonts w:ascii="Times New Roman" w:hAnsi="Times New Roman" w:cs="Times New Roman"/>
          <w:sz w:val="28"/>
          <w:szCs w:val="28"/>
          <w:lang w:val="en-US"/>
        </w:rPr>
        <w:t>Hansmann</w:t>
      </w:r>
      <w:proofErr w:type="spellEnd"/>
      <w:r w:rsidRPr="009D74B1">
        <w:rPr>
          <w:rFonts w:ascii="Times New Roman" w:hAnsi="Times New Roman" w:cs="Times New Roman"/>
          <w:sz w:val="28"/>
          <w:szCs w:val="28"/>
          <w:lang w:val="en-US"/>
        </w:rPr>
        <w:t xml:space="preserve"> G. et al. 2019 Updated consensus statement on the diagnosis and treatment of pediatric pulmonary hypertension: the European Pediatric Pulmonary Vascular Disease Network (EPPVDN) // J Heart Lung Transplant. - 2019. - Vol. 38. - P. 879-901.</w:t>
      </w:r>
    </w:p>
    <w:p w14:paraId="68C5C963"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9D74B1">
        <w:rPr>
          <w:rFonts w:ascii="Times New Roman" w:hAnsi="Times New Roman" w:cs="Times New Roman"/>
          <w:sz w:val="28"/>
          <w:szCs w:val="28"/>
          <w:lang w:val="en-US"/>
        </w:rPr>
        <w:t xml:space="preserve">Xu Z.Y. et al. Risk factors for death and the clinical features of different subtypes of patients with pulmonary arterial hypertension related to congenital heart disease // </w:t>
      </w:r>
      <w:proofErr w:type="spellStart"/>
      <w:r w:rsidRPr="009D74B1">
        <w:rPr>
          <w:rFonts w:ascii="Times New Roman" w:hAnsi="Times New Roman" w:cs="Times New Roman"/>
          <w:sz w:val="28"/>
          <w:szCs w:val="28"/>
          <w:lang w:val="en-US"/>
        </w:rPr>
        <w:t>Zhonghua</w:t>
      </w:r>
      <w:proofErr w:type="spellEnd"/>
      <w:r w:rsidRPr="009D74B1">
        <w:rPr>
          <w:rFonts w:ascii="Times New Roman" w:hAnsi="Times New Roman" w:cs="Times New Roman"/>
          <w:sz w:val="28"/>
          <w:szCs w:val="28"/>
          <w:lang w:val="en-US"/>
        </w:rPr>
        <w:t xml:space="preserve"> Xin </w:t>
      </w:r>
      <w:proofErr w:type="spellStart"/>
      <w:r w:rsidRPr="009D74B1">
        <w:rPr>
          <w:rFonts w:ascii="Times New Roman" w:hAnsi="Times New Roman" w:cs="Times New Roman"/>
          <w:sz w:val="28"/>
          <w:szCs w:val="28"/>
          <w:lang w:val="en-US"/>
        </w:rPr>
        <w:t>Xue</w:t>
      </w:r>
      <w:proofErr w:type="spellEnd"/>
      <w:r w:rsidRPr="009D74B1">
        <w:rPr>
          <w:rFonts w:ascii="Times New Roman" w:hAnsi="Times New Roman" w:cs="Times New Roman"/>
          <w:sz w:val="28"/>
          <w:szCs w:val="28"/>
          <w:lang w:val="en-US"/>
        </w:rPr>
        <w:t xml:space="preserve"> Guan Bing Za </w:t>
      </w:r>
      <w:proofErr w:type="spellStart"/>
      <w:r w:rsidRPr="009D74B1">
        <w:rPr>
          <w:rFonts w:ascii="Times New Roman" w:hAnsi="Times New Roman" w:cs="Times New Roman"/>
          <w:sz w:val="28"/>
          <w:szCs w:val="28"/>
          <w:lang w:val="en-US"/>
        </w:rPr>
        <w:t>Zhi</w:t>
      </w:r>
      <w:proofErr w:type="spellEnd"/>
      <w:r w:rsidRPr="009D74B1">
        <w:rPr>
          <w:rFonts w:ascii="Times New Roman" w:hAnsi="Times New Roman" w:cs="Times New Roman"/>
          <w:sz w:val="28"/>
          <w:szCs w:val="28"/>
          <w:lang w:val="en-US"/>
        </w:rPr>
        <w:t>. - 2020. - Vol. 48. - P. 315-322.</w:t>
      </w:r>
    </w:p>
    <w:p w14:paraId="06CBC05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proofErr w:type="spellStart"/>
      <w:r w:rsidRPr="009D74B1">
        <w:rPr>
          <w:rFonts w:ascii="Times New Roman" w:hAnsi="Times New Roman" w:cs="Times New Roman"/>
          <w:sz w:val="28"/>
          <w:szCs w:val="28"/>
          <w:lang w:val="en-US"/>
        </w:rPr>
        <w:t>Gorbachevsky</w:t>
      </w:r>
      <w:proofErr w:type="spellEnd"/>
      <w:r w:rsidRPr="009D74B1">
        <w:rPr>
          <w:rFonts w:ascii="Times New Roman" w:hAnsi="Times New Roman" w:cs="Times New Roman"/>
          <w:sz w:val="28"/>
          <w:szCs w:val="28"/>
          <w:lang w:val="en-US"/>
        </w:rPr>
        <w:t xml:space="preserve"> S., </w:t>
      </w:r>
      <w:proofErr w:type="spellStart"/>
      <w:r w:rsidRPr="009D74B1">
        <w:rPr>
          <w:rFonts w:ascii="Times New Roman" w:hAnsi="Times New Roman" w:cs="Times New Roman"/>
          <w:sz w:val="28"/>
          <w:szCs w:val="28"/>
          <w:lang w:val="en-US"/>
        </w:rPr>
        <w:t>Shmalts</w:t>
      </w:r>
      <w:proofErr w:type="spellEnd"/>
      <w:r w:rsidRPr="009D74B1">
        <w:rPr>
          <w:rFonts w:ascii="Times New Roman" w:hAnsi="Times New Roman" w:cs="Times New Roman"/>
          <w:sz w:val="28"/>
          <w:szCs w:val="28"/>
          <w:lang w:val="en-US"/>
        </w:rPr>
        <w:t xml:space="preserve"> A.A. Diagnosis of pulmonary hypertension associated with congenital heart disease. Part 1: Definition, classification and initial examination of patients // Russian Bulletin of Perinatology and Pediatrics. - 2021. - Vol. 66(5). - PP.28-37.</w:t>
      </w:r>
    </w:p>
    <w:p w14:paraId="519EC097"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B8694A">
        <w:rPr>
          <w:rFonts w:ascii="Times New Roman" w:hAnsi="Times New Roman" w:cs="Times New Roman"/>
          <w:sz w:val="28"/>
          <w:szCs w:val="28"/>
          <w:lang w:val="en-US"/>
        </w:rPr>
        <w:t>MacLean M. et al. Serotonin and Pulmonary Hypertension; Sex and Drugs and ROCK and Rho // Comprehensive Physiology. - 2022. - Vol. 12, №4. - P. 1-16.</w:t>
      </w:r>
    </w:p>
    <w:p w14:paraId="524F4BC7"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B8694A">
        <w:rPr>
          <w:rFonts w:ascii="Times New Roman" w:hAnsi="Times New Roman" w:cs="Times New Roman"/>
          <w:sz w:val="28"/>
          <w:szCs w:val="28"/>
          <w:lang w:val="en-US"/>
        </w:rPr>
        <w:t>Huang Y.Z. et al. Pulmonary Hypertension Induces Serotonin Hyperreactivity and Metabolic Reprogramming in Coronary Arteries via NOX1/4-TRPM2 Signaling Pathway // Hypertension. - 2024. - Vol. 81(3). - P. 582-594.</w:t>
      </w:r>
    </w:p>
    <w:p w14:paraId="471AF2D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proofErr w:type="spellStart"/>
      <w:r w:rsidRPr="00B8694A">
        <w:rPr>
          <w:rFonts w:ascii="Times New Roman" w:hAnsi="Times New Roman" w:cs="Times New Roman"/>
          <w:sz w:val="28"/>
          <w:szCs w:val="28"/>
          <w:lang w:val="en-US"/>
        </w:rPr>
        <w:t>Nies</w:t>
      </w:r>
      <w:proofErr w:type="spellEnd"/>
      <w:r w:rsidRPr="00B8694A">
        <w:rPr>
          <w:rFonts w:ascii="Times New Roman" w:hAnsi="Times New Roman" w:cs="Times New Roman"/>
          <w:sz w:val="28"/>
          <w:szCs w:val="28"/>
          <w:lang w:val="en-US"/>
        </w:rPr>
        <w:t xml:space="preserve"> M. et al. Proteomics discovery of pulmonary hypertension biomarkers: Insulin‐like growth factor binding proteins are associated with disease severity // Pulmonary Circulation. - 2022. - Vol. 12.</w:t>
      </w:r>
    </w:p>
    <w:p w14:paraId="6FE35BB3"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E7373F">
        <w:rPr>
          <w:rFonts w:ascii="Times New Roman" w:hAnsi="Times New Roman" w:cs="Times New Roman"/>
          <w:sz w:val="28"/>
          <w:szCs w:val="28"/>
          <w:lang w:val="en-US"/>
        </w:rPr>
        <w:t xml:space="preserve">Ivy D. et al. Embracing the challenges of neonatal and </w:t>
      </w:r>
      <w:proofErr w:type="spellStart"/>
      <w:r w:rsidRPr="00E7373F">
        <w:rPr>
          <w:rFonts w:ascii="Times New Roman" w:hAnsi="Times New Roman" w:cs="Times New Roman"/>
          <w:sz w:val="28"/>
          <w:szCs w:val="28"/>
          <w:lang w:val="en-US"/>
        </w:rPr>
        <w:t>paediatric</w:t>
      </w:r>
      <w:proofErr w:type="spellEnd"/>
      <w:r w:rsidRPr="00E7373F">
        <w:rPr>
          <w:rFonts w:ascii="Times New Roman" w:hAnsi="Times New Roman" w:cs="Times New Roman"/>
          <w:sz w:val="28"/>
          <w:szCs w:val="28"/>
          <w:lang w:val="en-US"/>
        </w:rPr>
        <w:t xml:space="preserve"> pulmonary hypertension // European Respiratory Journal. - 2024. - Vol. 64(4). - P. 2401345.</w:t>
      </w:r>
    </w:p>
    <w:p w14:paraId="35043B4C" w14:textId="77777777" w:rsidR="00BA0FE7" w:rsidRPr="00E07B26" w:rsidRDefault="00BA0FE7">
      <w:pPr>
        <w:rPr>
          <w:lang w:val="en-US"/>
        </w:rPr>
      </w:pPr>
    </w:p>
    <w:sectPr w:rsidR="00BA0FE7" w:rsidRPr="00E07B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53DA"/>
    <w:multiLevelType w:val="multilevel"/>
    <w:tmpl w:val="3080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428DC"/>
    <w:multiLevelType w:val="multilevel"/>
    <w:tmpl w:val="6BFA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66C8D"/>
    <w:multiLevelType w:val="hybridMultilevel"/>
    <w:tmpl w:val="681C8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E02071"/>
    <w:multiLevelType w:val="multilevel"/>
    <w:tmpl w:val="B126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80732"/>
    <w:multiLevelType w:val="multilevel"/>
    <w:tmpl w:val="8D0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F2BDF"/>
    <w:multiLevelType w:val="hybridMultilevel"/>
    <w:tmpl w:val="8D988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BB517C"/>
    <w:multiLevelType w:val="hybridMultilevel"/>
    <w:tmpl w:val="4AC0258E"/>
    <w:lvl w:ilvl="0" w:tplc="0DD87F78">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42CE1565"/>
    <w:multiLevelType w:val="hybridMultilevel"/>
    <w:tmpl w:val="DCE49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5F4B51"/>
    <w:multiLevelType w:val="hybridMultilevel"/>
    <w:tmpl w:val="3CB2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C6647"/>
    <w:multiLevelType w:val="multilevel"/>
    <w:tmpl w:val="F14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81614"/>
    <w:multiLevelType w:val="hybridMultilevel"/>
    <w:tmpl w:val="701C42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BBC7390"/>
    <w:multiLevelType w:val="hybridMultilevel"/>
    <w:tmpl w:val="70F02D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627A249C"/>
    <w:multiLevelType w:val="hybridMultilevel"/>
    <w:tmpl w:val="502C3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832D36"/>
    <w:multiLevelType w:val="hybridMultilevel"/>
    <w:tmpl w:val="5B8691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74513E2"/>
    <w:multiLevelType w:val="hybridMultilevel"/>
    <w:tmpl w:val="DB888056"/>
    <w:lvl w:ilvl="0" w:tplc="0DD87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5" w15:restartNumberingAfterBreak="0">
    <w:nsid w:val="699130E7"/>
    <w:multiLevelType w:val="hybridMultilevel"/>
    <w:tmpl w:val="92F41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011211"/>
    <w:multiLevelType w:val="hybridMultilevel"/>
    <w:tmpl w:val="9648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82657"/>
    <w:multiLevelType w:val="multilevel"/>
    <w:tmpl w:val="168090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72A4A4A"/>
    <w:multiLevelType w:val="hybridMultilevel"/>
    <w:tmpl w:val="9176E4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788569DD"/>
    <w:multiLevelType w:val="hybridMultilevel"/>
    <w:tmpl w:val="1AF6AB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EAA2246"/>
    <w:multiLevelType w:val="hybridMultilevel"/>
    <w:tmpl w:val="2BD62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2010806">
    <w:abstractNumId w:val="11"/>
  </w:num>
  <w:num w:numId="2" w16cid:durableId="983583693">
    <w:abstractNumId w:val="1"/>
  </w:num>
  <w:num w:numId="3" w16cid:durableId="1083723330">
    <w:abstractNumId w:val="4"/>
  </w:num>
  <w:num w:numId="4" w16cid:durableId="125006684">
    <w:abstractNumId w:val="8"/>
  </w:num>
  <w:num w:numId="5" w16cid:durableId="1967393931">
    <w:abstractNumId w:val="10"/>
  </w:num>
  <w:num w:numId="6" w16cid:durableId="1340425830">
    <w:abstractNumId w:val="18"/>
  </w:num>
  <w:num w:numId="7" w16cid:durableId="1127970042">
    <w:abstractNumId w:val="13"/>
  </w:num>
  <w:num w:numId="8" w16cid:durableId="469328441">
    <w:abstractNumId w:val="15"/>
  </w:num>
  <w:num w:numId="9" w16cid:durableId="1369910851">
    <w:abstractNumId w:val="19"/>
  </w:num>
  <w:num w:numId="10" w16cid:durableId="1025903683">
    <w:abstractNumId w:val="6"/>
  </w:num>
  <w:num w:numId="11" w16cid:durableId="404109861">
    <w:abstractNumId w:val="14"/>
  </w:num>
  <w:num w:numId="12" w16cid:durableId="1191840451">
    <w:abstractNumId w:val="0"/>
    <w:lvlOverride w:ilvl="0">
      <w:startOverride w:val="1"/>
    </w:lvlOverride>
  </w:num>
  <w:num w:numId="13" w16cid:durableId="1974863713">
    <w:abstractNumId w:val="3"/>
    <w:lvlOverride w:ilvl="0">
      <w:lvl w:ilvl="0">
        <w:numFmt w:val="decimal"/>
        <w:lvlText w:val="%1."/>
        <w:lvlJc w:val="left"/>
      </w:lvl>
    </w:lvlOverride>
  </w:num>
  <w:num w:numId="14" w16cid:durableId="244263436">
    <w:abstractNumId w:val="5"/>
  </w:num>
  <w:num w:numId="15" w16cid:durableId="649747036">
    <w:abstractNumId w:val="7"/>
  </w:num>
  <w:num w:numId="16" w16cid:durableId="2134516924">
    <w:abstractNumId w:val="20"/>
  </w:num>
  <w:num w:numId="17" w16cid:durableId="362481546">
    <w:abstractNumId w:val="16"/>
  </w:num>
  <w:num w:numId="18" w16cid:durableId="1649633441">
    <w:abstractNumId w:val="2"/>
  </w:num>
  <w:num w:numId="19" w16cid:durableId="779837801">
    <w:abstractNumId w:val="17"/>
  </w:num>
  <w:num w:numId="20" w16cid:durableId="456341288">
    <w:abstractNumId w:val="9"/>
  </w:num>
  <w:num w:numId="21" w16cid:durableId="860781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E7"/>
    <w:rsid w:val="00022C46"/>
    <w:rsid w:val="000325ED"/>
    <w:rsid w:val="000805D4"/>
    <w:rsid w:val="000D2C76"/>
    <w:rsid w:val="002010E5"/>
    <w:rsid w:val="00202467"/>
    <w:rsid w:val="00211818"/>
    <w:rsid w:val="00247D97"/>
    <w:rsid w:val="00274D25"/>
    <w:rsid w:val="00282FE8"/>
    <w:rsid w:val="002D5733"/>
    <w:rsid w:val="002E4569"/>
    <w:rsid w:val="00332B0B"/>
    <w:rsid w:val="003414E2"/>
    <w:rsid w:val="0034296A"/>
    <w:rsid w:val="0037447D"/>
    <w:rsid w:val="003B414E"/>
    <w:rsid w:val="003D09B1"/>
    <w:rsid w:val="003E01CE"/>
    <w:rsid w:val="003E12C0"/>
    <w:rsid w:val="00445AB3"/>
    <w:rsid w:val="00454C25"/>
    <w:rsid w:val="004570E7"/>
    <w:rsid w:val="004F017F"/>
    <w:rsid w:val="0051072D"/>
    <w:rsid w:val="005B0EF1"/>
    <w:rsid w:val="006151C9"/>
    <w:rsid w:val="006C16DB"/>
    <w:rsid w:val="006E26E5"/>
    <w:rsid w:val="006E27CF"/>
    <w:rsid w:val="006E6208"/>
    <w:rsid w:val="00705F3A"/>
    <w:rsid w:val="00706F11"/>
    <w:rsid w:val="00734644"/>
    <w:rsid w:val="007526A5"/>
    <w:rsid w:val="00855E98"/>
    <w:rsid w:val="0085760F"/>
    <w:rsid w:val="00857979"/>
    <w:rsid w:val="008B165A"/>
    <w:rsid w:val="008C4EC4"/>
    <w:rsid w:val="008E5601"/>
    <w:rsid w:val="008F501F"/>
    <w:rsid w:val="0090298E"/>
    <w:rsid w:val="00936727"/>
    <w:rsid w:val="00972D6E"/>
    <w:rsid w:val="009F36DB"/>
    <w:rsid w:val="00A01F7D"/>
    <w:rsid w:val="00A17735"/>
    <w:rsid w:val="00A87EAF"/>
    <w:rsid w:val="00AC4D7A"/>
    <w:rsid w:val="00B32BA8"/>
    <w:rsid w:val="00B63E0F"/>
    <w:rsid w:val="00B676EF"/>
    <w:rsid w:val="00BA0FE7"/>
    <w:rsid w:val="00C4565E"/>
    <w:rsid w:val="00CB3470"/>
    <w:rsid w:val="00CB3C94"/>
    <w:rsid w:val="00CC1100"/>
    <w:rsid w:val="00CC3B49"/>
    <w:rsid w:val="00D56562"/>
    <w:rsid w:val="00DE71B8"/>
    <w:rsid w:val="00E07B26"/>
    <w:rsid w:val="00EB78EF"/>
    <w:rsid w:val="00EF6FF4"/>
    <w:rsid w:val="00F32D30"/>
    <w:rsid w:val="00F44DA7"/>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87A8"/>
  <w15:chartTrackingRefBased/>
  <w15:docId w15:val="{2411CA3C-45A1-5D4D-B4FE-935A4D62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E7"/>
  </w:style>
  <w:style w:type="paragraph" w:styleId="Heading1">
    <w:name w:val="heading 1"/>
    <w:basedOn w:val="Normal"/>
    <w:next w:val="Normal"/>
    <w:link w:val="Heading1Char"/>
    <w:uiPriority w:val="9"/>
    <w:qFormat/>
    <w:rsid w:val="0045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E7"/>
    <w:rPr>
      <w:rFonts w:eastAsiaTheme="majorEastAsia" w:cstheme="majorBidi"/>
      <w:color w:val="272727" w:themeColor="text1" w:themeTint="D8"/>
    </w:rPr>
  </w:style>
  <w:style w:type="paragraph" w:styleId="Title">
    <w:name w:val="Title"/>
    <w:basedOn w:val="Normal"/>
    <w:next w:val="Normal"/>
    <w:link w:val="TitleChar"/>
    <w:uiPriority w:val="10"/>
    <w:qFormat/>
    <w:rsid w:val="00457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0E7"/>
    <w:rPr>
      <w:i/>
      <w:iCs/>
      <w:color w:val="404040" w:themeColor="text1" w:themeTint="BF"/>
    </w:rPr>
  </w:style>
  <w:style w:type="paragraph" w:styleId="ListParagraph">
    <w:name w:val="List Paragraph"/>
    <w:basedOn w:val="Normal"/>
    <w:uiPriority w:val="34"/>
    <w:qFormat/>
    <w:rsid w:val="004570E7"/>
    <w:pPr>
      <w:ind w:left="720"/>
      <w:contextualSpacing/>
    </w:pPr>
  </w:style>
  <w:style w:type="character" w:styleId="IntenseEmphasis">
    <w:name w:val="Intense Emphasis"/>
    <w:basedOn w:val="DefaultParagraphFont"/>
    <w:uiPriority w:val="21"/>
    <w:qFormat/>
    <w:rsid w:val="004570E7"/>
    <w:rPr>
      <w:i/>
      <w:iCs/>
      <w:color w:val="0F4761" w:themeColor="accent1" w:themeShade="BF"/>
    </w:rPr>
  </w:style>
  <w:style w:type="paragraph" w:styleId="IntenseQuote">
    <w:name w:val="Intense Quote"/>
    <w:basedOn w:val="Normal"/>
    <w:next w:val="Normal"/>
    <w:link w:val="IntenseQuoteChar"/>
    <w:uiPriority w:val="30"/>
    <w:qFormat/>
    <w:rsid w:val="0045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0E7"/>
    <w:rPr>
      <w:i/>
      <w:iCs/>
      <w:color w:val="0F4761" w:themeColor="accent1" w:themeShade="BF"/>
    </w:rPr>
  </w:style>
  <w:style w:type="character" w:styleId="IntenseReference">
    <w:name w:val="Intense Reference"/>
    <w:basedOn w:val="DefaultParagraphFont"/>
    <w:uiPriority w:val="32"/>
    <w:qFormat/>
    <w:rsid w:val="004570E7"/>
    <w:rPr>
      <w:b/>
      <w:bCs/>
      <w:smallCaps/>
      <w:color w:val="0F4761" w:themeColor="accent1" w:themeShade="BF"/>
      <w:spacing w:val="5"/>
    </w:rPr>
  </w:style>
  <w:style w:type="paragraph" w:styleId="NormalWeb">
    <w:name w:val="Normal (Web)"/>
    <w:basedOn w:val="Normal"/>
    <w:uiPriority w:val="99"/>
    <w:unhideWhenUsed/>
    <w:rsid w:val="004570E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01F7D"/>
  </w:style>
  <w:style w:type="character" w:styleId="Strong">
    <w:name w:val="Strong"/>
    <w:basedOn w:val="DefaultParagraphFont"/>
    <w:uiPriority w:val="22"/>
    <w:qFormat/>
    <w:rsid w:val="00A01F7D"/>
    <w:rPr>
      <w:b/>
      <w:bCs/>
    </w:rPr>
  </w:style>
  <w:style w:type="paragraph" w:customStyle="1" w:styleId="MDPI31text">
    <w:name w:val="MDPI_3.1_text"/>
    <w:qFormat/>
    <w:rsid w:val="00247D97"/>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character" w:styleId="Emphasis">
    <w:name w:val="Emphasis"/>
    <w:basedOn w:val="DefaultParagraphFont"/>
    <w:uiPriority w:val="20"/>
    <w:qFormat/>
    <w:rsid w:val="00247D97"/>
    <w:rPr>
      <w:i/>
      <w:iCs/>
    </w:rPr>
  </w:style>
  <w:style w:type="character" w:styleId="Hyperlink">
    <w:name w:val="Hyperlink"/>
    <w:basedOn w:val="DefaultParagraphFont"/>
    <w:uiPriority w:val="99"/>
    <w:unhideWhenUsed/>
    <w:rsid w:val="00247D97"/>
    <w:rPr>
      <w:color w:val="0000FF"/>
      <w:u w:val="single"/>
    </w:rPr>
  </w:style>
  <w:style w:type="character" w:customStyle="1" w:styleId="y2iqfc">
    <w:name w:val="y2iqfc"/>
    <w:basedOn w:val="DefaultParagraphFont"/>
    <w:rsid w:val="008E5601"/>
  </w:style>
  <w:style w:type="paragraph" w:customStyle="1" w:styleId="skip-numbering">
    <w:name w:val="skip-numbering"/>
    <w:basedOn w:val="Normal"/>
    <w:rsid w:val="00F44DA7"/>
    <w:pPr>
      <w:spacing w:before="100" w:beforeAutospacing="1" w:after="100" w:afterAutospacing="1"/>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4565E"/>
    <w:pPr>
      <w:widowControl w:val="0"/>
      <w:autoSpaceDE w:val="0"/>
      <w:autoSpaceDN w:val="0"/>
      <w:ind w:left="141" w:firstLine="566"/>
      <w:jc w:val="both"/>
    </w:pPr>
    <w:rPr>
      <w:rFonts w:ascii="Times New Roman" w:eastAsia="Times New Roman" w:hAnsi="Times New Roman" w:cs="Times New Roman"/>
      <w:kern w:val="0"/>
      <w:sz w:val="28"/>
      <w:szCs w:val="28"/>
      <w:lang w:val="ru-RU"/>
      <w14:ligatures w14:val="none"/>
    </w:rPr>
  </w:style>
  <w:style w:type="character" w:customStyle="1" w:styleId="BodyTextChar">
    <w:name w:val="Body Text Char"/>
    <w:basedOn w:val="DefaultParagraphFont"/>
    <w:link w:val="BodyText"/>
    <w:uiPriority w:val="1"/>
    <w:rsid w:val="00C4565E"/>
    <w:rPr>
      <w:rFonts w:ascii="Times New Roman" w:eastAsia="Times New Roman" w:hAnsi="Times New Roman" w:cs="Times New Roman"/>
      <w:kern w:val="0"/>
      <w:sz w:val="28"/>
      <w:szCs w:val="28"/>
      <w:lang w:val="ru-RU"/>
      <w14:ligatures w14:val="none"/>
    </w:rPr>
  </w:style>
  <w:style w:type="paragraph" w:customStyle="1" w:styleId="ds-markdown-paragraph">
    <w:name w:val="ds-markdown-paragraph"/>
    <w:basedOn w:val="Normal"/>
    <w:rsid w:val="00EF6FF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1494">
      <w:bodyDiv w:val="1"/>
      <w:marLeft w:val="0"/>
      <w:marRight w:val="0"/>
      <w:marTop w:val="0"/>
      <w:marBottom w:val="0"/>
      <w:divBdr>
        <w:top w:val="none" w:sz="0" w:space="0" w:color="auto"/>
        <w:left w:val="none" w:sz="0" w:space="0" w:color="auto"/>
        <w:bottom w:val="none" w:sz="0" w:space="0" w:color="auto"/>
        <w:right w:val="none" w:sz="0" w:space="0" w:color="auto"/>
      </w:divBdr>
    </w:div>
    <w:div w:id="179708640">
      <w:bodyDiv w:val="1"/>
      <w:marLeft w:val="0"/>
      <w:marRight w:val="0"/>
      <w:marTop w:val="0"/>
      <w:marBottom w:val="0"/>
      <w:divBdr>
        <w:top w:val="none" w:sz="0" w:space="0" w:color="auto"/>
        <w:left w:val="none" w:sz="0" w:space="0" w:color="auto"/>
        <w:bottom w:val="none" w:sz="0" w:space="0" w:color="auto"/>
        <w:right w:val="none" w:sz="0" w:space="0" w:color="auto"/>
      </w:divBdr>
    </w:div>
    <w:div w:id="179853210">
      <w:bodyDiv w:val="1"/>
      <w:marLeft w:val="0"/>
      <w:marRight w:val="0"/>
      <w:marTop w:val="0"/>
      <w:marBottom w:val="0"/>
      <w:divBdr>
        <w:top w:val="none" w:sz="0" w:space="0" w:color="auto"/>
        <w:left w:val="none" w:sz="0" w:space="0" w:color="auto"/>
        <w:bottom w:val="none" w:sz="0" w:space="0" w:color="auto"/>
        <w:right w:val="none" w:sz="0" w:space="0" w:color="auto"/>
      </w:divBdr>
    </w:div>
    <w:div w:id="224535142">
      <w:bodyDiv w:val="1"/>
      <w:marLeft w:val="0"/>
      <w:marRight w:val="0"/>
      <w:marTop w:val="0"/>
      <w:marBottom w:val="0"/>
      <w:divBdr>
        <w:top w:val="none" w:sz="0" w:space="0" w:color="auto"/>
        <w:left w:val="none" w:sz="0" w:space="0" w:color="auto"/>
        <w:bottom w:val="none" w:sz="0" w:space="0" w:color="auto"/>
        <w:right w:val="none" w:sz="0" w:space="0" w:color="auto"/>
      </w:divBdr>
    </w:div>
    <w:div w:id="254898058">
      <w:bodyDiv w:val="1"/>
      <w:marLeft w:val="0"/>
      <w:marRight w:val="0"/>
      <w:marTop w:val="0"/>
      <w:marBottom w:val="0"/>
      <w:divBdr>
        <w:top w:val="none" w:sz="0" w:space="0" w:color="auto"/>
        <w:left w:val="none" w:sz="0" w:space="0" w:color="auto"/>
        <w:bottom w:val="none" w:sz="0" w:space="0" w:color="auto"/>
        <w:right w:val="none" w:sz="0" w:space="0" w:color="auto"/>
      </w:divBdr>
    </w:div>
    <w:div w:id="351805354">
      <w:bodyDiv w:val="1"/>
      <w:marLeft w:val="0"/>
      <w:marRight w:val="0"/>
      <w:marTop w:val="0"/>
      <w:marBottom w:val="0"/>
      <w:divBdr>
        <w:top w:val="none" w:sz="0" w:space="0" w:color="auto"/>
        <w:left w:val="none" w:sz="0" w:space="0" w:color="auto"/>
        <w:bottom w:val="none" w:sz="0" w:space="0" w:color="auto"/>
        <w:right w:val="none" w:sz="0" w:space="0" w:color="auto"/>
      </w:divBdr>
    </w:div>
    <w:div w:id="456533736">
      <w:bodyDiv w:val="1"/>
      <w:marLeft w:val="0"/>
      <w:marRight w:val="0"/>
      <w:marTop w:val="0"/>
      <w:marBottom w:val="0"/>
      <w:divBdr>
        <w:top w:val="none" w:sz="0" w:space="0" w:color="auto"/>
        <w:left w:val="none" w:sz="0" w:space="0" w:color="auto"/>
        <w:bottom w:val="none" w:sz="0" w:space="0" w:color="auto"/>
        <w:right w:val="none" w:sz="0" w:space="0" w:color="auto"/>
      </w:divBdr>
    </w:div>
    <w:div w:id="464202935">
      <w:bodyDiv w:val="1"/>
      <w:marLeft w:val="0"/>
      <w:marRight w:val="0"/>
      <w:marTop w:val="0"/>
      <w:marBottom w:val="0"/>
      <w:divBdr>
        <w:top w:val="none" w:sz="0" w:space="0" w:color="auto"/>
        <w:left w:val="none" w:sz="0" w:space="0" w:color="auto"/>
        <w:bottom w:val="none" w:sz="0" w:space="0" w:color="auto"/>
        <w:right w:val="none" w:sz="0" w:space="0" w:color="auto"/>
      </w:divBdr>
    </w:div>
    <w:div w:id="482359159">
      <w:bodyDiv w:val="1"/>
      <w:marLeft w:val="0"/>
      <w:marRight w:val="0"/>
      <w:marTop w:val="0"/>
      <w:marBottom w:val="0"/>
      <w:divBdr>
        <w:top w:val="none" w:sz="0" w:space="0" w:color="auto"/>
        <w:left w:val="none" w:sz="0" w:space="0" w:color="auto"/>
        <w:bottom w:val="none" w:sz="0" w:space="0" w:color="auto"/>
        <w:right w:val="none" w:sz="0" w:space="0" w:color="auto"/>
      </w:divBdr>
    </w:div>
    <w:div w:id="494496447">
      <w:bodyDiv w:val="1"/>
      <w:marLeft w:val="0"/>
      <w:marRight w:val="0"/>
      <w:marTop w:val="0"/>
      <w:marBottom w:val="0"/>
      <w:divBdr>
        <w:top w:val="none" w:sz="0" w:space="0" w:color="auto"/>
        <w:left w:val="none" w:sz="0" w:space="0" w:color="auto"/>
        <w:bottom w:val="none" w:sz="0" w:space="0" w:color="auto"/>
        <w:right w:val="none" w:sz="0" w:space="0" w:color="auto"/>
      </w:divBdr>
    </w:div>
    <w:div w:id="505825034">
      <w:bodyDiv w:val="1"/>
      <w:marLeft w:val="0"/>
      <w:marRight w:val="0"/>
      <w:marTop w:val="0"/>
      <w:marBottom w:val="0"/>
      <w:divBdr>
        <w:top w:val="none" w:sz="0" w:space="0" w:color="auto"/>
        <w:left w:val="none" w:sz="0" w:space="0" w:color="auto"/>
        <w:bottom w:val="none" w:sz="0" w:space="0" w:color="auto"/>
        <w:right w:val="none" w:sz="0" w:space="0" w:color="auto"/>
      </w:divBdr>
    </w:div>
    <w:div w:id="537163323">
      <w:bodyDiv w:val="1"/>
      <w:marLeft w:val="0"/>
      <w:marRight w:val="0"/>
      <w:marTop w:val="0"/>
      <w:marBottom w:val="0"/>
      <w:divBdr>
        <w:top w:val="none" w:sz="0" w:space="0" w:color="auto"/>
        <w:left w:val="none" w:sz="0" w:space="0" w:color="auto"/>
        <w:bottom w:val="none" w:sz="0" w:space="0" w:color="auto"/>
        <w:right w:val="none" w:sz="0" w:space="0" w:color="auto"/>
      </w:divBdr>
    </w:div>
    <w:div w:id="546725718">
      <w:bodyDiv w:val="1"/>
      <w:marLeft w:val="0"/>
      <w:marRight w:val="0"/>
      <w:marTop w:val="0"/>
      <w:marBottom w:val="0"/>
      <w:divBdr>
        <w:top w:val="none" w:sz="0" w:space="0" w:color="auto"/>
        <w:left w:val="none" w:sz="0" w:space="0" w:color="auto"/>
        <w:bottom w:val="none" w:sz="0" w:space="0" w:color="auto"/>
        <w:right w:val="none" w:sz="0" w:space="0" w:color="auto"/>
      </w:divBdr>
    </w:div>
    <w:div w:id="580019365">
      <w:bodyDiv w:val="1"/>
      <w:marLeft w:val="0"/>
      <w:marRight w:val="0"/>
      <w:marTop w:val="0"/>
      <w:marBottom w:val="0"/>
      <w:divBdr>
        <w:top w:val="none" w:sz="0" w:space="0" w:color="auto"/>
        <w:left w:val="none" w:sz="0" w:space="0" w:color="auto"/>
        <w:bottom w:val="none" w:sz="0" w:space="0" w:color="auto"/>
        <w:right w:val="none" w:sz="0" w:space="0" w:color="auto"/>
      </w:divBdr>
      <w:divsChild>
        <w:div w:id="67315135">
          <w:marLeft w:val="0"/>
          <w:marRight w:val="0"/>
          <w:marTop w:val="0"/>
          <w:marBottom w:val="150"/>
          <w:divBdr>
            <w:top w:val="none" w:sz="0" w:space="0" w:color="auto"/>
            <w:left w:val="none" w:sz="0" w:space="0" w:color="auto"/>
            <w:bottom w:val="none" w:sz="0" w:space="0" w:color="auto"/>
            <w:right w:val="none" w:sz="0" w:space="0" w:color="auto"/>
          </w:divBdr>
          <w:divsChild>
            <w:div w:id="1301348689">
              <w:marLeft w:val="0"/>
              <w:marRight w:val="0"/>
              <w:marTop w:val="0"/>
              <w:marBottom w:val="0"/>
              <w:divBdr>
                <w:top w:val="none" w:sz="0" w:space="0" w:color="auto"/>
                <w:left w:val="none" w:sz="0" w:space="0" w:color="auto"/>
                <w:bottom w:val="none" w:sz="0" w:space="0" w:color="auto"/>
                <w:right w:val="none" w:sz="0" w:space="0" w:color="auto"/>
              </w:divBdr>
              <w:divsChild>
                <w:div w:id="16698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4087">
          <w:marLeft w:val="0"/>
          <w:marRight w:val="0"/>
          <w:marTop w:val="0"/>
          <w:marBottom w:val="0"/>
          <w:divBdr>
            <w:top w:val="none" w:sz="0" w:space="0" w:color="auto"/>
            <w:left w:val="none" w:sz="0" w:space="0" w:color="auto"/>
            <w:bottom w:val="none" w:sz="0" w:space="0" w:color="auto"/>
            <w:right w:val="none" w:sz="0" w:space="0" w:color="auto"/>
          </w:divBdr>
        </w:div>
      </w:divsChild>
    </w:div>
    <w:div w:id="581066608">
      <w:bodyDiv w:val="1"/>
      <w:marLeft w:val="0"/>
      <w:marRight w:val="0"/>
      <w:marTop w:val="0"/>
      <w:marBottom w:val="0"/>
      <w:divBdr>
        <w:top w:val="none" w:sz="0" w:space="0" w:color="auto"/>
        <w:left w:val="none" w:sz="0" w:space="0" w:color="auto"/>
        <w:bottom w:val="none" w:sz="0" w:space="0" w:color="auto"/>
        <w:right w:val="none" w:sz="0" w:space="0" w:color="auto"/>
      </w:divBdr>
    </w:div>
    <w:div w:id="710961871">
      <w:bodyDiv w:val="1"/>
      <w:marLeft w:val="0"/>
      <w:marRight w:val="0"/>
      <w:marTop w:val="0"/>
      <w:marBottom w:val="0"/>
      <w:divBdr>
        <w:top w:val="none" w:sz="0" w:space="0" w:color="auto"/>
        <w:left w:val="none" w:sz="0" w:space="0" w:color="auto"/>
        <w:bottom w:val="none" w:sz="0" w:space="0" w:color="auto"/>
        <w:right w:val="none" w:sz="0" w:space="0" w:color="auto"/>
      </w:divBdr>
    </w:div>
    <w:div w:id="735515039">
      <w:bodyDiv w:val="1"/>
      <w:marLeft w:val="0"/>
      <w:marRight w:val="0"/>
      <w:marTop w:val="0"/>
      <w:marBottom w:val="0"/>
      <w:divBdr>
        <w:top w:val="none" w:sz="0" w:space="0" w:color="auto"/>
        <w:left w:val="none" w:sz="0" w:space="0" w:color="auto"/>
        <w:bottom w:val="none" w:sz="0" w:space="0" w:color="auto"/>
        <w:right w:val="none" w:sz="0" w:space="0" w:color="auto"/>
      </w:divBdr>
    </w:div>
    <w:div w:id="831869867">
      <w:bodyDiv w:val="1"/>
      <w:marLeft w:val="0"/>
      <w:marRight w:val="0"/>
      <w:marTop w:val="0"/>
      <w:marBottom w:val="0"/>
      <w:divBdr>
        <w:top w:val="none" w:sz="0" w:space="0" w:color="auto"/>
        <w:left w:val="none" w:sz="0" w:space="0" w:color="auto"/>
        <w:bottom w:val="none" w:sz="0" w:space="0" w:color="auto"/>
        <w:right w:val="none" w:sz="0" w:space="0" w:color="auto"/>
      </w:divBdr>
      <w:divsChild>
        <w:div w:id="1444810100">
          <w:marLeft w:val="660"/>
          <w:marRight w:val="660"/>
          <w:marTop w:val="0"/>
          <w:marBottom w:val="0"/>
          <w:divBdr>
            <w:top w:val="none" w:sz="0" w:space="0" w:color="auto"/>
            <w:left w:val="none" w:sz="0" w:space="0" w:color="auto"/>
            <w:bottom w:val="none" w:sz="0" w:space="0" w:color="auto"/>
            <w:right w:val="none" w:sz="0" w:space="0" w:color="auto"/>
          </w:divBdr>
          <w:divsChild>
            <w:div w:id="458184829">
              <w:marLeft w:val="0"/>
              <w:marRight w:val="0"/>
              <w:marTop w:val="0"/>
              <w:marBottom w:val="0"/>
              <w:divBdr>
                <w:top w:val="none" w:sz="0" w:space="0" w:color="auto"/>
                <w:left w:val="none" w:sz="0" w:space="0" w:color="auto"/>
                <w:bottom w:val="none" w:sz="0" w:space="0" w:color="auto"/>
                <w:right w:val="none" w:sz="0" w:space="0" w:color="auto"/>
              </w:divBdr>
              <w:divsChild>
                <w:div w:id="1549298736">
                  <w:marLeft w:val="0"/>
                  <w:marRight w:val="0"/>
                  <w:marTop w:val="0"/>
                  <w:marBottom w:val="0"/>
                  <w:divBdr>
                    <w:top w:val="none" w:sz="0" w:space="0" w:color="auto"/>
                    <w:left w:val="none" w:sz="0" w:space="0" w:color="auto"/>
                    <w:bottom w:val="none" w:sz="0" w:space="0" w:color="auto"/>
                    <w:right w:val="none" w:sz="0" w:space="0" w:color="auto"/>
                  </w:divBdr>
                  <w:divsChild>
                    <w:div w:id="2115712079">
                      <w:marLeft w:val="0"/>
                      <w:marRight w:val="0"/>
                      <w:marTop w:val="0"/>
                      <w:marBottom w:val="0"/>
                      <w:divBdr>
                        <w:top w:val="none" w:sz="0" w:space="0" w:color="auto"/>
                        <w:left w:val="none" w:sz="0" w:space="0" w:color="auto"/>
                        <w:bottom w:val="none" w:sz="0" w:space="0" w:color="auto"/>
                        <w:right w:val="none" w:sz="0" w:space="0" w:color="auto"/>
                      </w:divBdr>
                      <w:divsChild>
                        <w:div w:id="909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7340">
      <w:bodyDiv w:val="1"/>
      <w:marLeft w:val="0"/>
      <w:marRight w:val="0"/>
      <w:marTop w:val="0"/>
      <w:marBottom w:val="0"/>
      <w:divBdr>
        <w:top w:val="none" w:sz="0" w:space="0" w:color="auto"/>
        <w:left w:val="none" w:sz="0" w:space="0" w:color="auto"/>
        <w:bottom w:val="none" w:sz="0" w:space="0" w:color="auto"/>
        <w:right w:val="none" w:sz="0" w:space="0" w:color="auto"/>
      </w:divBdr>
    </w:div>
    <w:div w:id="1252159324">
      <w:bodyDiv w:val="1"/>
      <w:marLeft w:val="0"/>
      <w:marRight w:val="0"/>
      <w:marTop w:val="0"/>
      <w:marBottom w:val="0"/>
      <w:divBdr>
        <w:top w:val="none" w:sz="0" w:space="0" w:color="auto"/>
        <w:left w:val="none" w:sz="0" w:space="0" w:color="auto"/>
        <w:bottom w:val="none" w:sz="0" w:space="0" w:color="auto"/>
        <w:right w:val="none" w:sz="0" w:space="0" w:color="auto"/>
      </w:divBdr>
    </w:div>
    <w:div w:id="1269005931">
      <w:bodyDiv w:val="1"/>
      <w:marLeft w:val="0"/>
      <w:marRight w:val="0"/>
      <w:marTop w:val="0"/>
      <w:marBottom w:val="0"/>
      <w:divBdr>
        <w:top w:val="none" w:sz="0" w:space="0" w:color="auto"/>
        <w:left w:val="none" w:sz="0" w:space="0" w:color="auto"/>
        <w:bottom w:val="none" w:sz="0" w:space="0" w:color="auto"/>
        <w:right w:val="none" w:sz="0" w:space="0" w:color="auto"/>
      </w:divBdr>
    </w:div>
    <w:div w:id="1449467271">
      <w:bodyDiv w:val="1"/>
      <w:marLeft w:val="0"/>
      <w:marRight w:val="0"/>
      <w:marTop w:val="0"/>
      <w:marBottom w:val="0"/>
      <w:divBdr>
        <w:top w:val="none" w:sz="0" w:space="0" w:color="auto"/>
        <w:left w:val="none" w:sz="0" w:space="0" w:color="auto"/>
        <w:bottom w:val="none" w:sz="0" w:space="0" w:color="auto"/>
        <w:right w:val="none" w:sz="0" w:space="0" w:color="auto"/>
      </w:divBdr>
    </w:div>
    <w:div w:id="1497039457">
      <w:bodyDiv w:val="1"/>
      <w:marLeft w:val="0"/>
      <w:marRight w:val="0"/>
      <w:marTop w:val="0"/>
      <w:marBottom w:val="0"/>
      <w:divBdr>
        <w:top w:val="none" w:sz="0" w:space="0" w:color="auto"/>
        <w:left w:val="none" w:sz="0" w:space="0" w:color="auto"/>
        <w:bottom w:val="none" w:sz="0" w:space="0" w:color="auto"/>
        <w:right w:val="none" w:sz="0" w:space="0" w:color="auto"/>
      </w:divBdr>
    </w:div>
    <w:div w:id="1522743129">
      <w:bodyDiv w:val="1"/>
      <w:marLeft w:val="0"/>
      <w:marRight w:val="0"/>
      <w:marTop w:val="0"/>
      <w:marBottom w:val="0"/>
      <w:divBdr>
        <w:top w:val="none" w:sz="0" w:space="0" w:color="auto"/>
        <w:left w:val="none" w:sz="0" w:space="0" w:color="auto"/>
        <w:bottom w:val="none" w:sz="0" w:space="0" w:color="auto"/>
        <w:right w:val="none" w:sz="0" w:space="0" w:color="auto"/>
      </w:divBdr>
    </w:div>
    <w:div w:id="1543053449">
      <w:bodyDiv w:val="1"/>
      <w:marLeft w:val="0"/>
      <w:marRight w:val="0"/>
      <w:marTop w:val="0"/>
      <w:marBottom w:val="0"/>
      <w:divBdr>
        <w:top w:val="none" w:sz="0" w:space="0" w:color="auto"/>
        <w:left w:val="none" w:sz="0" w:space="0" w:color="auto"/>
        <w:bottom w:val="none" w:sz="0" w:space="0" w:color="auto"/>
        <w:right w:val="none" w:sz="0" w:space="0" w:color="auto"/>
      </w:divBdr>
    </w:div>
    <w:div w:id="1588729122">
      <w:bodyDiv w:val="1"/>
      <w:marLeft w:val="0"/>
      <w:marRight w:val="0"/>
      <w:marTop w:val="0"/>
      <w:marBottom w:val="0"/>
      <w:divBdr>
        <w:top w:val="none" w:sz="0" w:space="0" w:color="auto"/>
        <w:left w:val="none" w:sz="0" w:space="0" w:color="auto"/>
        <w:bottom w:val="none" w:sz="0" w:space="0" w:color="auto"/>
        <w:right w:val="none" w:sz="0" w:space="0" w:color="auto"/>
      </w:divBdr>
    </w:div>
    <w:div w:id="1678802195">
      <w:bodyDiv w:val="1"/>
      <w:marLeft w:val="0"/>
      <w:marRight w:val="0"/>
      <w:marTop w:val="0"/>
      <w:marBottom w:val="0"/>
      <w:divBdr>
        <w:top w:val="none" w:sz="0" w:space="0" w:color="auto"/>
        <w:left w:val="none" w:sz="0" w:space="0" w:color="auto"/>
        <w:bottom w:val="none" w:sz="0" w:space="0" w:color="auto"/>
        <w:right w:val="none" w:sz="0" w:space="0" w:color="auto"/>
      </w:divBdr>
    </w:div>
    <w:div w:id="1743092750">
      <w:bodyDiv w:val="1"/>
      <w:marLeft w:val="0"/>
      <w:marRight w:val="0"/>
      <w:marTop w:val="0"/>
      <w:marBottom w:val="0"/>
      <w:divBdr>
        <w:top w:val="none" w:sz="0" w:space="0" w:color="auto"/>
        <w:left w:val="none" w:sz="0" w:space="0" w:color="auto"/>
        <w:bottom w:val="none" w:sz="0" w:space="0" w:color="auto"/>
        <w:right w:val="none" w:sz="0" w:space="0" w:color="auto"/>
      </w:divBdr>
    </w:div>
    <w:div w:id="1874151275">
      <w:bodyDiv w:val="1"/>
      <w:marLeft w:val="0"/>
      <w:marRight w:val="0"/>
      <w:marTop w:val="0"/>
      <w:marBottom w:val="0"/>
      <w:divBdr>
        <w:top w:val="none" w:sz="0" w:space="0" w:color="auto"/>
        <w:left w:val="none" w:sz="0" w:space="0" w:color="auto"/>
        <w:bottom w:val="none" w:sz="0" w:space="0" w:color="auto"/>
        <w:right w:val="none" w:sz="0" w:space="0" w:color="auto"/>
      </w:divBdr>
    </w:div>
    <w:div w:id="19083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4343</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Оспанова</dc:creator>
  <cp:keywords/>
  <dc:description/>
  <cp:lastModifiedBy>Мария Оспанова</cp:lastModifiedBy>
  <cp:revision>10</cp:revision>
  <cp:lastPrinted>2026-04-19T08:29:00Z</cp:lastPrinted>
  <dcterms:created xsi:type="dcterms:W3CDTF">2026-04-19T08:29:00Z</dcterms:created>
  <dcterms:modified xsi:type="dcterms:W3CDTF">2026-04-30T01:22:00Z</dcterms:modified>
</cp:coreProperties>
</file>